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40EBC" w14:textId="10A1A4BE" w:rsidR="00B30DBB" w:rsidRPr="001500E0" w:rsidRDefault="000D51CD" w:rsidP="00B30DBB">
      <w:pPr>
        <w:rPr>
          <w:rFonts w:ascii="Verdana" w:hAnsi="Verdana"/>
          <w:sz w:val="40"/>
          <w:szCs w:val="40"/>
        </w:rPr>
      </w:pPr>
      <w:proofErr w:type="spellStart"/>
      <w:r w:rsidRPr="00EE2B01">
        <w:rPr>
          <w:rFonts w:ascii="Verdana" w:hAnsi="Verdana"/>
          <w:b/>
          <w:bCs/>
          <w:sz w:val="44"/>
          <w:szCs w:val="44"/>
        </w:rPr>
        <w:t>Geowarmth</w:t>
      </w:r>
      <w:proofErr w:type="spellEnd"/>
      <w:r w:rsidRPr="00EE2B01">
        <w:rPr>
          <w:rFonts w:ascii="Verdana" w:hAnsi="Verdana"/>
          <w:b/>
          <w:bCs/>
          <w:sz w:val="44"/>
          <w:szCs w:val="44"/>
        </w:rPr>
        <w:t xml:space="preserve"> Poultry Solutions</w:t>
      </w:r>
      <w:r w:rsidR="003B2A20">
        <w:rPr>
          <w:rFonts w:ascii="Verdana" w:hAnsi="Verdana"/>
          <w:sz w:val="40"/>
          <w:szCs w:val="40"/>
        </w:rPr>
        <w:t>,</w:t>
      </w:r>
      <w:r w:rsidR="002B37FF">
        <w:rPr>
          <w:rFonts w:ascii="Verdana" w:hAnsi="Verdana"/>
          <w:sz w:val="40"/>
          <w:szCs w:val="40"/>
        </w:rPr>
        <w:t xml:space="preserve"> </w:t>
      </w:r>
      <w:r w:rsidR="003B2A20" w:rsidRPr="003B2A20">
        <w:rPr>
          <w:rFonts w:ascii="Verdana" w:hAnsi="Verdana"/>
          <w:sz w:val="28"/>
          <w:szCs w:val="28"/>
        </w:rPr>
        <w:t>LLC.</w:t>
      </w:r>
    </w:p>
    <w:p w14:paraId="7B513BF9" w14:textId="01D6A0E2" w:rsidR="000D51CD" w:rsidRPr="000652A1" w:rsidRDefault="000D51CD" w:rsidP="00B30DBB">
      <w:pPr>
        <w:rPr>
          <w:rFonts w:ascii="Verdana" w:hAnsi="Verdana"/>
          <w:sz w:val="24"/>
          <w:szCs w:val="24"/>
        </w:rPr>
      </w:pPr>
      <w:r w:rsidRPr="000652A1">
        <w:rPr>
          <w:rFonts w:ascii="Verdana" w:hAnsi="Verdana"/>
          <w:sz w:val="24"/>
          <w:szCs w:val="24"/>
        </w:rPr>
        <w:t>Executive Summary</w:t>
      </w:r>
    </w:p>
    <w:p w14:paraId="622D87F0" w14:textId="608B2076" w:rsidR="003663F4" w:rsidRDefault="00947770" w:rsidP="00B236E6">
      <w:pPr>
        <w:rPr>
          <w:rFonts w:ascii="Verdana" w:hAnsi="Verdana"/>
          <w:b/>
          <w:bCs/>
          <w:sz w:val="20"/>
          <w:szCs w:val="20"/>
        </w:rPr>
      </w:pPr>
      <w:r>
        <w:rPr>
          <w:rFonts w:ascii="Verdana" w:hAnsi="Verdana"/>
          <w:b/>
          <w:bCs/>
          <w:noProof/>
          <w:sz w:val="20"/>
          <w:szCs w:val="20"/>
        </w:rPr>
        <mc:AlternateContent>
          <mc:Choice Requires="wps">
            <w:drawing>
              <wp:anchor distT="0" distB="0" distL="114300" distR="114300" simplePos="0" relativeHeight="251658240" behindDoc="0" locked="0" layoutInCell="1" allowOverlap="1" wp14:anchorId="546946FA" wp14:editId="1E0326C7">
                <wp:simplePos x="0" y="0"/>
                <wp:positionH relativeFrom="column">
                  <wp:posOffset>0</wp:posOffset>
                </wp:positionH>
                <wp:positionV relativeFrom="paragraph">
                  <wp:posOffset>94214</wp:posOffset>
                </wp:positionV>
                <wp:extent cx="5955632" cy="0"/>
                <wp:effectExtent l="0" t="0" r="13970" b="12700"/>
                <wp:wrapNone/>
                <wp:docPr id="355136410" name="Straight Connector 1"/>
                <wp:cNvGraphicFramePr/>
                <a:graphic xmlns:a="http://schemas.openxmlformats.org/drawingml/2006/main">
                  <a:graphicData uri="http://schemas.microsoft.com/office/word/2010/wordprocessingShape">
                    <wps:wsp>
                      <wps:cNvCnPr/>
                      <wps:spPr>
                        <a:xfrm>
                          <a:off x="0" y="0"/>
                          <a:ext cx="59556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3C0C5806"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7.4pt" to="468.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" strokecolor="black [3200]" strokeweight=".5pt">
                <v:stroke joinstyle="miter"/>
              </v:line>
            </w:pict>
          </mc:Fallback>
        </mc:AlternateContent>
      </w:r>
    </w:p>
    <w:p w14:paraId="22780AF1" w14:textId="5EA68D6D" w:rsidR="003B2A20" w:rsidRPr="00C11AC9" w:rsidRDefault="003B2A20" w:rsidP="47B75444">
      <w:pPr>
        <w:rPr>
          <w:rFonts w:ascii="Verdana" w:hAnsi="Verdana"/>
          <w:b/>
          <w:color w:val="0D0D0D" w:themeColor="text1" w:themeTint="F2"/>
          <w:sz w:val="32"/>
          <w:szCs w:val="32"/>
        </w:rPr>
      </w:pPr>
      <w:r w:rsidRPr="00C11AC9">
        <w:rPr>
          <w:rFonts w:ascii="Verdana" w:hAnsi="Verdana"/>
          <w:b/>
          <w:color w:val="0D0D0D" w:themeColor="text1" w:themeTint="F2"/>
          <w:sz w:val="32"/>
          <w:szCs w:val="32"/>
        </w:rPr>
        <w:t>About Us</w:t>
      </w:r>
    </w:p>
    <w:p w14:paraId="2E650854" w14:textId="485FE8F0" w:rsidR="000572BE" w:rsidRPr="009A5A65" w:rsidRDefault="000572BE" w:rsidP="47B75444">
      <w:pPr>
        <w:rPr>
          <w:rFonts w:ascii="Verdana" w:hAnsi="Verdana"/>
          <w:b/>
          <w:bCs/>
          <w:color w:val="385623" w:themeColor="accent6" w:themeShade="80"/>
          <w:sz w:val="24"/>
          <w:szCs w:val="24"/>
        </w:rPr>
      </w:pPr>
      <w:r w:rsidRPr="009A5A65">
        <w:rPr>
          <w:rFonts w:ascii="Verdana" w:hAnsi="Verdana"/>
          <w:b/>
          <w:bCs/>
          <w:color w:val="385623" w:themeColor="accent6" w:themeShade="80"/>
          <w:sz w:val="24"/>
          <w:szCs w:val="24"/>
        </w:rPr>
        <w:t>Business Description</w:t>
      </w:r>
    </w:p>
    <w:p w14:paraId="68DDB9FA" w14:textId="58248E74" w:rsidR="00AA2B59" w:rsidRPr="009A5A65" w:rsidRDefault="00AA2B59" w:rsidP="00CD39B3">
      <w:pPr>
        <w:spacing w:line="240" w:lineRule="auto"/>
        <w:jc w:val="both"/>
        <w:rPr>
          <w:rStyle w:val="eop"/>
          <w:rFonts w:ascii="Verdana" w:hAnsi="Verdana" w:cs="Segoe UI"/>
          <w:sz w:val="20"/>
          <w:szCs w:val="20"/>
        </w:rPr>
      </w:pPr>
      <w:proofErr w:type="spellStart"/>
      <w:r w:rsidRPr="009A5A65">
        <w:rPr>
          <w:rStyle w:val="eop"/>
          <w:rFonts w:ascii="Verdana" w:hAnsi="Verdana" w:cs="Segoe UI"/>
          <w:sz w:val="20"/>
          <w:szCs w:val="20"/>
        </w:rPr>
        <w:t>GeoWarmth</w:t>
      </w:r>
      <w:proofErr w:type="spellEnd"/>
      <w:r w:rsidRPr="009A5A65">
        <w:rPr>
          <w:rStyle w:val="eop"/>
          <w:rFonts w:ascii="Verdana" w:hAnsi="Verdana" w:cs="Segoe UI"/>
          <w:sz w:val="20"/>
          <w:szCs w:val="20"/>
        </w:rPr>
        <w:t xml:space="preserve"> Poultry Solutions provides a ground-source heating system for broiler chicken farms. Propane and natural gas are the industry standard for heating, but the amount of gas required to maintain consistent temperatures results in high energy costs and an unhealthy environment for birds</w:t>
      </w:r>
      <w:r w:rsidR="0004729B">
        <w:rPr>
          <w:rStyle w:val="eop"/>
          <w:rFonts w:ascii="Verdana" w:hAnsi="Verdana" w:cs="Segoe UI"/>
          <w:sz w:val="20"/>
          <w:szCs w:val="20"/>
        </w:rPr>
        <w:t xml:space="preserve">. </w:t>
      </w:r>
      <w:r w:rsidRPr="009A5A65">
        <w:rPr>
          <w:rStyle w:val="eop"/>
          <w:rFonts w:ascii="Verdana" w:hAnsi="Verdana" w:cs="Segoe UI"/>
          <w:sz w:val="20"/>
          <w:szCs w:val="20"/>
        </w:rPr>
        <w:t>Our service consists of consulting, planning, digging, and installing our product.</w:t>
      </w:r>
    </w:p>
    <w:p w14:paraId="35E621DC" w14:textId="28439F09" w:rsidR="00730341" w:rsidRPr="009A5A65" w:rsidRDefault="00730341" w:rsidP="00CD39B3">
      <w:pPr>
        <w:spacing w:line="240" w:lineRule="auto"/>
        <w:jc w:val="both"/>
        <w:rPr>
          <w:rStyle w:val="eop"/>
          <w:rFonts w:ascii="Verdana" w:hAnsi="Verdana" w:cs="Segoe UI"/>
          <w:b/>
          <w:bCs/>
          <w:color w:val="385623" w:themeColor="accent6" w:themeShade="80"/>
          <w:sz w:val="24"/>
          <w:szCs w:val="24"/>
        </w:rPr>
      </w:pPr>
      <w:r w:rsidRPr="009A5A65">
        <w:rPr>
          <w:rStyle w:val="eop"/>
          <w:rFonts w:ascii="Verdana" w:hAnsi="Verdana" w:cs="Segoe UI"/>
          <w:b/>
          <w:bCs/>
          <w:color w:val="385623" w:themeColor="accent6" w:themeShade="80"/>
          <w:sz w:val="24"/>
          <w:szCs w:val="24"/>
        </w:rPr>
        <w:t xml:space="preserve">Problem </w:t>
      </w:r>
    </w:p>
    <w:p w14:paraId="339FD4DB" w14:textId="17BCD620" w:rsidR="003C7AAC" w:rsidRPr="009A5A65" w:rsidRDefault="000C1697" w:rsidP="00CD39B3">
      <w:pPr>
        <w:spacing w:line="240" w:lineRule="auto"/>
        <w:jc w:val="both"/>
        <w:rPr>
          <w:rStyle w:val="eop"/>
          <w:rFonts w:ascii="Verdana" w:hAnsi="Verdana" w:cs="Segoe UI"/>
          <w:color w:val="000000" w:themeColor="text1"/>
          <w:sz w:val="20"/>
          <w:szCs w:val="20"/>
        </w:rPr>
      </w:pPr>
      <w:r w:rsidRPr="00986074">
        <w:rPr>
          <w:rStyle w:val="eop"/>
          <w:rFonts w:ascii="Verdana" w:hAnsi="Verdana" w:cs="Segoe UI"/>
          <w:bCs/>
          <w:color w:val="000000" w:themeColor="text1"/>
          <w:sz w:val="20"/>
          <w:szCs w:val="20"/>
        </w:rPr>
        <w:t xml:space="preserve">Over </w:t>
      </w:r>
      <w:r w:rsidR="10D32031" w:rsidRPr="00EE2B01">
        <w:rPr>
          <w:rStyle w:val="eop"/>
          <w:rFonts w:ascii="Verdana" w:hAnsi="Verdana" w:cs="Segoe UI"/>
          <w:color w:val="000000" w:themeColor="text1"/>
          <w:sz w:val="20"/>
          <w:szCs w:val="20"/>
        </w:rPr>
        <w:t>39</w:t>
      </w:r>
      <w:r w:rsidRPr="00986074">
        <w:rPr>
          <w:rStyle w:val="eop"/>
          <w:rFonts w:ascii="Verdana" w:hAnsi="Verdana" w:cs="Segoe UI"/>
          <w:bCs/>
          <w:color w:val="000000" w:themeColor="text1"/>
          <w:sz w:val="20"/>
          <w:szCs w:val="20"/>
        </w:rPr>
        <w:t>%</w:t>
      </w:r>
      <w:r w:rsidRPr="009A5A65">
        <w:rPr>
          <w:rStyle w:val="eop"/>
          <w:rFonts w:ascii="Verdana" w:hAnsi="Verdana" w:cs="Segoe UI"/>
          <w:bCs/>
          <w:color w:val="000000" w:themeColor="text1"/>
          <w:sz w:val="20"/>
          <w:szCs w:val="20"/>
        </w:rPr>
        <w:t xml:space="preserve"> of poultry </w:t>
      </w:r>
      <w:r w:rsidR="4AE381A2" w:rsidRPr="009A5A65">
        <w:rPr>
          <w:rStyle w:val="eop"/>
          <w:rFonts w:ascii="Verdana" w:hAnsi="Verdana" w:cs="Segoe UI"/>
          <w:color w:val="000000" w:themeColor="text1"/>
          <w:sz w:val="20"/>
          <w:szCs w:val="20"/>
        </w:rPr>
        <w:t>farmers'</w:t>
      </w:r>
      <w:r w:rsidRPr="009A5A65">
        <w:rPr>
          <w:rStyle w:val="eop"/>
          <w:rFonts w:ascii="Verdana" w:hAnsi="Verdana" w:cs="Segoe UI"/>
          <w:bCs/>
          <w:color w:val="000000" w:themeColor="text1"/>
          <w:sz w:val="20"/>
          <w:szCs w:val="20"/>
        </w:rPr>
        <w:t xml:space="preserve"> yearly operating costs are associated with </w:t>
      </w:r>
      <w:r w:rsidR="00282404" w:rsidRPr="009A5A65">
        <w:rPr>
          <w:rStyle w:val="eop"/>
          <w:rFonts w:ascii="Verdana" w:hAnsi="Verdana" w:cs="Segoe UI"/>
          <w:bCs/>
          <w:color w:val="000000" w:themeColor="text1"/>
          <w:sz w:val="20"/>
          <w:szCs w:val="20"/>
        </w:rPr>
        <w:t>maintaining the temperature of their chicken houses</w:t>
      </w:r>
      <w:r w:rsidR="00921D63" w:rsidRPr="009A5A65">
        <w:rPr>
          <w:rStyle w:val="eop"/>
          <w:rFonts w:ascii="Verdana" w:hAnsi="Verdana" w:cs="Segoe UI"/>
          <w:bCs/>
          <w:color w:val="000000" w:themeColor="text1"/>
          <w:sz w:val="20"/>
          <w:szCs w:val="20"/>
        </w:rPr>
        <w:t xml:space="preserve">. </w:t>
      </w:r>
      <w:r w:rsidR="00DE3CD0" w:rsidRPr="009A5A65">
        <w:rPr>
          <w:rStyle w:val="eop"/>
          <w:rFonts w:ascii="Verdana" w:hAnsi="Verdana" w:cs="Segoe UI"/>
          <w:bCs/>
          <w:color w:val="000000" w:themeColor="text1"/>
          <w:sz w:val="20"/>
          <w:szCs w:val="20"/>
        </w:rPr>
        <w:t xml:space="preserve">Additionally, </w:t>
      </w:r>
      <w:r w:rsidR="008006D6" w:rsidRPr="009A5A65">
        <w:rPr>
          <w:rStyle w:val="eop"/>
          <w:rFonts w:ascii="Verdana" w:hAnsi="Verdana" w:cs="Segoe UI"/>
          <w:bCs/>
          <w:color w:val="000000" w:themeColor="text1"/>
          <w:sz w:val="20"/>
          <w:szCs w:val="20"/>
        </w:rPr>
        <w:t>propane heating</w:t>
      </w:r>
      <w:r w:rsidR="0007370C" w:rsidRPr="009A5A65">
        <w:rPr>
          <w:rStyle w:val="eop"/>
          <w:rFonts w:ascii="Verdana" w:hAnsi="Verdana" w:cs="Segoe UI"/>
          <w:bCs/>
          <w:color w:val="000000" w:themeColor="text1"/>
          <w:sz w:val="20"/>
          <w:szCs w:val="20"/>
        </w:rPr>
        <w:t xml:space="preserve"> </w:t>
      </w:r>
      <w:r w:rsidR="002E7AAA" w:rsidRPr="009A5A65">
        <w:rPr>
          <w:rStyle w:val="eop"/>
          <w:rFonts w:ascii="Verdana" w:hAnsi="Verdana" w:cs="Segoe UI"/>
          <w:bCs/>
          <w:color w:val="000000" w:themeColor="text1"/>
          <w:sz w:val="20"/>
          <w:szCs w:val="20"/>
        </w:rPr>
        <w:t xml:space="preserve">systems require </w:t>
      </w:r>
      <w:r w:rsidR="00586559" w:rsidRPr="009A5A65">
        <w:rPr>
          <w:rStyle w:val="eop"/>
          <w:rFonts w:ascii="Verdana" w:hAnsi="Verdana" w:cs="Segoe UI"/>
          <w:bCs/>
          <w:color w:val="000000" w:themeColor="text1"/>
          <w:sz w:val="20"/>
          <w:szCs w:val="20"/>
        </w:rPr>
        <w:t xml:space="preserve">intricate ventilation systems </w:t>
      </w:r>
      <w:r w:rsidR="007B64EE" w:rsidRPr="009A5A65">
        <w:rPr>
          <w:rStyle w:val="eop"/>
          <w:rFonts w:ascii="Verdana" w:hAnsi="Verdana" w:cs="Segoe UI"/>
          <w:bCs/>
          <w:color w:val="000000" w:themeColor="text1"/>
          <w:sz w:val="20"/>
          <w:szCs w:val="20"/>
        </w:rPr>
        <w:t>to</w:t>
      </w:r>
      <w:r w:rsidR="00586559" w:rsidRPr="009A5A65">
        <w:rPr>
          <w:rStyle w:val="eop"/>
          <w:rFonts w:ascii="Verdana" w:hAnsi="Verdana" w:cs="Segoe UI"/>
          <w:bCs/>
          <w:color w:val="000000" w:themeColor="text1"/>
          <w:sz w:val="20"/>
          <w:szCs w:val="20"/>
        </w:rPr>
        <w:t xml:space="preserve"> prevent chicken fatalities due to poor air quality (which aren’t always effective).</w:t>
      </w:r>
      <w:r w:rsidR="002B7EA5" w:rsidRPr="009A5A65">
        <w:rPr>
          <w:rStyle w:val="eop"/>
          <w:rFonts w:ascii="Verdana" w:hAnsi="Verdana" w:cs="Segoe UI"/>
          <w:bCs/>
          <w:color w:val="000000" w:themeColor="text1"/>
          <w:sz w:val="20"/>
          <w:szCs w:val="20"/>
        </w:rPr>
        <w:t xml:space="preserve"> </w:t>
      </w:r>
      <w:r w:rsidR="004672FF" w:rsidRPr="009A5A65">
        <w:rPr>
          <w:rStyle w:val="eop"/>
          <w:rFonts w:ascii="Verdana" w:hAnsi="Verdana" w:cs="Segoe UI"/>
          <w:bCs/>
          <w:color w:val="000000" w:themeColor="text1"/>
          <w:sz w:val="20"/>
          <w:szCs w:val="20"/>
        </w:rPr>
        <w:t xml:space="preserve">The burning of propane gas also </w:t>
      </w:r>
      <w:r w:rsidR="3C82EE0E" w:rsidRPr="009A5A65">
        <w:rPr>
          <w:rStyle w:val="eop"/>
          <w:rFonts w:ascii="Verdana" w:hAnsi="Verdana" w:cs="Segoe UI"/>
          <w:color w:val="000000" w:themeColor="text1"/>
          <w:sz w:val="20"/>
          <w:szCs w:val="20"/>
        </w:rPr>
        <w:t>contributes</w:t>
      </w:r>
      <w:r w:rsidR="00695FF7" w:rsidRPr="009A5A65">
        <w:rPr>
          <w:rStyle w:val="eop"/>
          <w:rFonts w:ascii="Verdana" w:hAnsi="Verdana" w:cs="Segoe UI"/>
          <w:bCs/>
          <w:color w:val="000000" w:themeColor="text1"/>
          <w:sz w:val="20"/>
          <w:szCs w:val="20"/>
        </w:rPr>
        <w:t xml:space="preserve"> to climate change, as </w:t>
      </w:r>
      <w:r w:rsidR="161789A6" w:rsidRPr="009A5A65">
        <w:rPr>
          <w:rStyle w:val="eop"/>
          <w:rFonts w:ascii="Verdana" w:hAnsi="Verdana" w:cs="Segoe UI"/>
          <w:color w:val="000000" w:themeColor="text1"/>
          <w:sz w:val="20"/>
          <w:szCs w:val="20"/>
        </w:rPr>
        <w:t xml:space="preserve">360 million tons </w:t>
      </w:r>
      <w:r w:rsidR="55F2792C" w:rsidRPr="009A5A65">
        <w:rPr>
          <w:rStyle w:val="eop"/>
          <w:rFonts w:ascii="Verdana" w:hAnsi="Verdana" w:cs="Segoe UI"/>
          <w:color w:val="000000" w:themeColor="text1"/>
          <w:sz w:val="20"/>
          <w:szCs w:val="20"/>
        </w:rPr>
        <w:t xml:space="preserve">of greenhouse gases are </w:t>
      </w:r>
      <w:r w:rsidR="547BB8C7" w:rsidRPr="5C59E8BF">
        <w:rPr>
          <w:rStyle w:val="eop"/>
          <w:rFonts w:ascii="Verdana" w:hAnsi="Verdana" w:cs="Segoe UI"/>
          <w:color w:val="000000" w:themeColor="text1"/>
          <w:sz w:val="20"/>
          <w:szCs w:val="20"/>
        </w:rPr>
        <w:t>produced</w:t>
      </w:r>
      <w:r w:rsidR="2C83C697" w:rsidRPr="73844B89">
        <w:rPr>
          <w:rStyle w:val="eop"/>
          <w:rFonts w:ascii="Verdana" w:hAnsi="Verdana" w:cs="Segoe UI"/>
          <w:color w:val="000000" w:themeColor="text1"/>
          <w:sz w:val="20"/>
          <w:szCs w:val="20"/>
        </w:rPr>
        <w:t xml:space="preserve"> each year by the poultry industry.</w:t>
      </w:r>
    </w:p>
    <w:p w14:paraId="74D1DC56" w14:textId="1FD927A2" w:rsidR="003C7AAC" w:rsidRPr="009A5A65" w:rsidRDefault="003C7AAC" w:rsidP="00CD39B3">
      <w:pPr>
        <w:spacing w:line="240" w:lineRule="auto"/>
        <w:jc w:val="both"/>
        <w:rPr>
          <w:rStyle w:val="eop"/>
          <w:rFonts w:ascii="Verdana" w:hAnsi="Verdana" w:cs="Segoe UI"/>
          <w:b/>
          <w:color w:val="385623" w:themeColor="accent6" w:themeShade="80"/>
          <w:sz w:val="24"/>
          <w:szCs w:val="24"/>
        </w:rPr>
      </w:pPr>
      <w:r w:rsidRPr="009A5A65">
        <w:rPr>
          <w:rStyle w:val="eop"/>
          <w:rFonts w:ascii="Verdana" w:hAnsi="Verdana" w:cs="Segoe UI"/>
          <w:b/>
          <w:color w:val="385623" w:themeColor="accent6" w:themeShade="80"/>
          <w:sz w:val="24"/>
          <w:szCs w:val="24"/>
        </w:rPr>
        <w:t>Solution</w:t>
      </w:r>
    </w:p>
    <w:p w14:paraId="1DBE31C1" w14:textId="0D79DC66" w:rsidR="00117427" w:rsidRPr="00EC7F5C" w:rsidRDefault="00117427" w:rsidP="00EE2B01">
      <w:pPr>
        <w:rPr>
          <w:rStyle w:val="eop"/>
          <w:rFonts w:ascii="Verdana" w:hAnsi="Verdana" w:cs="Segoe UI"/>
          <w:bCs/>
          <w:color w:val="000000" w:themeColor="text1"/>
          <w:sz w:val="20"/>
          <w:szCs w:val="20"/>
        </w:rPr>
      </w:pPr>
      <w:proofErr w:type="spellStart"/>
      <w:r w:rsidRPr="009A5A65">
        <w:rPr>
          <w:rStyle w:val="eop"/>
          <w:rFonts w:ascii="Verdana" w:hAnsi="Verdana" w:cs="Segoe UI"/>
          <w:bCs/>
          <w:color w:val="000000" w:themeColor="text1"/>
          <w:sz w:val="20"/>
          <w:szCs w:val="20"/>
        </w:rPr>
        <w:t>Geowarmth</w:t>
      </w:r>
      <w:proofErr w:type="spellEnd"/>
      <w:r w:rsidRPr="009A5A65">
        <w:rPr>
          <w:rStyle w:val="eop"/>
          <w:rFonts w:ascii="Verdana" w:hAnsi="Verdana" w:cs="Segoe UI"/>
          <w:bCs/>
          <w:color w:val="000000" w:themeColor="text1"/>
          <w:sz w:val="20"/>
          <w:szCs w:val="20"/>
        </w:rPr>
        <w:t xml:space="preserve"> Poultry Solutions aims to alleviate the high yearly costs of maintaining temperatures by offering a</w:t>
      </w:r>
      <w:r w:rsidR="00941C61">
        <w:rPr>
          <w:rStyle w:val="eop"/>
          <w:rFonts w:ascii="Verdana" w:hAnsi="Verdana" w:cs="Segoe UI"/>
          <w:bCs/>
          <w:color w:val="000000" w:themeColor="text1"/>
          <w:sz w:val="20"/>
          <w:szCs w:val="20"/>
        </w:rPr>
        <w:t xml:space="preserve"> </w:t>
      </w:r>
      <w:r w:rsidR="573CB9AF" w:rsidRPr="73844B89">
        <w:rPr>
          <w:rStyle w:val="eop"/>
          <w:rFonts w:ascii="Verdana" w:hAnsi="Verdana" w:cs="Segoe UI"/>
          <w:color w:val="000000" w:themeColor="text1"/>
          <w:sz w:val="20"/>
          <w:szCs w:val="20"/>
        </w:rPr>
        <w:t xml:space="preserve">low impact and low annual </w:t>
      </w:r>
      <w:r w:rsidRPr="009A5A65">
        <w:rPr>
          <w:rStyle w:val="eop"/>
          <w:rFonts w:ascii="Verdana" w:hAnsi="Verdana" w:cs="Segoe UI"/>
          <w:bCs/>
          <w:color w:val="000000" w:themeColor="text1"/>
          <w:sz w:val="20"/>
          <w:szCs w:val="20"/>
        </w:rPr>
        <w:t xml:space="preserve">cost </w:t>
      </w:r>
      <w:r w:rsidR="573CB9AF" w:rsidRPr="73844B89">
        <w:rPr>
          <w:rStyle w:val="eop"/>
          <w:rFonts w:ascii="Verdana" w:hAnsi="Verdana" w:cs="Segoe UI"/>
          <w:color w:val="000000" w:themeColor="text1"/>
          <w:sz w:val="20"/>
          <w:szCs w:val="20"/>
        </w:rPr>
        <w:t>alternative.</w:t>
      </w:r>
      <w:r w:rsidR="573CB9AF" w:rsidRPr="2D9839CB">
        <w:rPr>
          <w:rStyle w:val="eop"/>
          <w:rFonts w:ascii="Verdana" w:hAnsi="Verdana" w:cs="Segoe UI"/>
          <w:color w:val="000000" w:themeColor="text1"/>
          <w:sz w:val="20"/>
          <w:szCs w:val="20"/>
        </w:rPr>
        <w:t xml:space="preserve"> </w:t>
      </w:r>
      <w:r w:rsidR="573CB9AF" w:rsidRPr="5C59E8BF">
        <w:rPr>
          <w:rStyle w:val="eop"/>
          <w:rFonts w:ascii="Verdana" w:hAnsi="Verdana" w:cs="Segoe UI"/>
          <w:color w:val="000000" w:themeColor="text1"/>
          <w:sz w:val="20"/>
          <w:szCs w:val="20"/>
        </w:rPr>
        <w:t xml:space="preserve">GPS offers </w:t>
      </w:r>
      <w:r w:rsidR="41A17C43" w:rsidRPr="5C59E8BF">
        <w:rPr>
          <w:rStyle w:val="eop"/>
          <w:rFonts w:ascii="Verdana" w:hAnsi="Verdana" w:cs="Segoe UI"/>
          <w:color w:val="000000" w:themeColor="text1"/>
          <w:sz w:val="20"/>
          <w:szCs w:val="20"/>
        </w:rPr>
        <w:t xml:space="preserve">consultation, </w:t>
      </w:r>
      <w:proofErr w:type="gramStart"/>
      <w:r w:rsidR="41A17C43" w:rsidRPr="5C59E8BF">
        <w:rPr>
          <w:rStyle w:val="eop"/>
          <w:rFonts w:ascii="Verdana" w:hAnsi="Verdana" w:cs="Segoe UI"/>
          <w:color w:val="000000" w:themeColor="text1"/>
          <w:sz w:val="20"/>
          <w:szCs w:val="20"/>
        </w:rPr>
        <w:t>manufacturing</w:t>
      </w:r>
      <w:proofErr w:type="gramEnd"/>
      <w:r w:rsidR="41A17C43" w:rsidRPr="5C59E8BF">
        <w:rPr>
          <w:rStyle w:val="eop"/>
          <w:rFonts w:ascii="Verdana" w:hAnsi="Verdana" w:cs="Segoe UI"/>
          <w:color w:val="000000" w:themeColor="text1"/>
          <w:sz w:val="20"/>
          <w:szCs w:val="20"/>
        </w:rPr>
        <w:t xml:space="preserve"> and installation of a ground source heating system custom fit for the needs of each farmer. </w:t>
      </w:r>
    </w:p>
    <w:p w14:paraId="3343C090" w14:textId="2DDAD769" w:rsidR="00935AB3" w:rsidRPr="00EE2B01" w:rsidRDefault="00935AB3" w:rsidP="0061719B">
      <w:pPr>
        <w:rPr>
          <w:rFonts w:ascii="Verdana" w:hAnsi="Verdana"/>
          <w:sz w:val="24"/>
          <w:szCs w:val="24"/>
        </w:rPr>
      </w:pPr>
      <w:r w:rsidRPr="009A5A65">
        <w:rPr>
          <w:rFonts w:ascii="Verdana" w:hAnsi="Verdana"/>
          <w:b/>
          <w:bCs/>
          <w:color w:val="385623" w:themeColor="accent6" w:themeShade="80"/>
          <w:sz w:val="24"/>
          <w:szCs w:val="24"/>
        </w:rPr>
        <w:t>Competitive Advantage</w:t>
      </w:r>
      <w:r w:rsidR="0061719B" w:rsidRPr="009A5A65">
        <w:rPr>
          <w:rFonts w:ascii="Verdana" w:hAnsi="Verdana"/>
          <w:b/>
          <w:sz w:val="24"/>
          <w:szCs w:val="24"/>
        </w:rPr>
        <w:t xml:space="preserve"> </w:t>
      </w:r>
    </w:p>
    <w:p w14:paraId="34DE8936" w14:textId="77777777" w:rsidR="00684953" w:rsidRPr="009A5A65" w:rsidRDefault="00684953" w:rsidP="00684953">
      <w:pPr>
        <w:pStyle w:val="NoSpacing"/>
        <w:rPr>
          <w:rFonts w:ascii="Verdana" w:hAnsi="Verdana"/>
          <w:sz w:val="20"/>
          <w:szCs w:val="20"/>
        </w:rPr>
      </w:pPr>
      <w:proofErr w:type="spellStart"/>
      <w:r w:rsidRPr="00EE2B01">
        <w:rPr>
          <w:rFonts w:ascii="Verdana" w:hAnsi="Verdana"/>
          <w:sz w:val="20"/>
          <w:szCs w:val="20"/>
        </w:rPr>
        <w:t>GeoWarmth</w:t>
      </w:r>
      <w:proofErr w:type="spellEnd"/>
      <w:r w:rsidRPr="00EE2B01">
        <w:rPr>
          <w:rFonts w:ascii="Verdana" w:hAnsi="Verdana"/>
          <w:sz w:val="20"/>
          <w:szCs w:val="20"/>
        </w:rPr>
        <w:t xml:space="preserve"> Poultry Solutions' competitive advantage is our differentiation within the U.S. poultry market by emphasizing sustainability and long-term cost savings for farmers. Our product excellence derives from our innovative and customizable technology that is both efficient and reliable for customers. This is achieved through thorough consultation and engineering to fit the consumer’s needs.</w:t>
      </w:r>
    </w:p>
    <w:p w14:paraId="1E39204F" w14:textId="77777777" w:rsidR="007D371D" w:rsidRPr="00EE2B01" w:rsidRDefault="007D371D" w:rsidP="00EE2B01">
      <w:pPr>
        <w:pStyle w:val="NoSpacing"/>
        <w:rPr>
          <w:rFonts w:ascii="Verdana" w:hAnsi="Verdana"/>
          <w:sz w:val="20"/>
          <w:szCs w:val="20"/>
        </w:rPr>
      </w:pPr>
    </w:p>
    <w:p w14:paraId="2AEC0A61" w14:textId="7EBDD74E" w:rsidR="003663F4" w:rsidRPr="009A5A65" w:rsidRDefault="003663F4" w:rsidP="00302D03">
      <w:pPr>
        <w:rPr>
          <w:rFonts w:ascii="Verdana" w:hAnsi="Verdana"/>
          <w:b/>
          <w:color w:val="385623" w:themeColor="accent6" w:themeShade="80"/>
          <w:sz w:val="24"/>
          <w:szCs w:val="24"/>
        </w:rPr>
      </w:pPr>
      <w:r w:rsidRPr="009A5A65">
        <w:rPr>
          <w:rFonts w:ascii="Verdana" w:hAnsi="Verdana"/>
          <w:b/>
          <w:color w:val="385623" w:themeColor="accent6" w:themeShade="80"/>
          <w:sz w:val="24"/>
          <w:szCs w:val="24"/>
        </w:rPr>
        <w:t>Technologies/Special Know-</w:t>
      </w:r>
      <w:r w:rsidRPr="00EE2B01">
        <w:rPr>
          <w:rFonts w:ascii="Verdana" w:hAnsi="Verdana"/>
          <w:b/>
          <w:bCs/>
          <w:color w:val="385623" w:themeColor="accent6" w:themeShade="80"/>
          <w:sz w:val="24"/>
          <w:szCs w:val="24"/>
        </w:rPr>
        <w:t>h</w:t>
      </w:r>
      <w:r w:rsidR="00F272C2" w:rsidRPr="00EE2B01">
        <w:rPr>
          <w:rFonts w:ascii="Verdana" w:hAnsi="Verdana"/>
          <w:b/>
          <w:bCs/>
          <w:color w:val="385623" w:themeColor="accent6" w:themeShade="80"/>
          <w:sz w:val="24"/>
          <w:szCs w:val="24"/>
        </w:rPr>
        <w:t>o</w:t>
      </w:r>
      <w:r w:rsidRPr="00EE2B01">
        <w:rPr>
          <w:rFonts w:ascii="Verdana" w:hAnsi="Verdana"/>
          <w:b/>
          <w:bCs/>
          <w:color w:val="385623" w:themeColor="accent6" w:themeShade="80"/>
          <w:sz w:val="24"/>
          <w:szCs w:val="24"/>
        </w:rPr>
        <w:t>w</w:t>
      </w:r>
    </w:p>
    <w:p w14:paraId="43AA6CE9" w14:textId="099D4453" w:rsidR="000572BE" w:rsidRPr="009A5A65" w:rsidRDefault="003663F4" w:rsidP="47B75444">
      <w:pPr>
        <w:rPr>
          <w:rFonts w:ascii="Verdana" w:hAnsi="Verdana"/>
          <w:sz w:val="20"/>
          <w:szCs w:val="20"/>
        </w:rPr>
      </w:pPr>
      <w:r w:rsidRPr="009A5A65">
        <w:rPr>
          <w:rFonts w:ascii="Verdana" w:hAnsi="Verdana"/>
          <w:sz w:val="20"/>
          <w:szCs w:val="20"/>
        </w:rPr>
        <w:t>Introducing geothermal technologies to the poultry industry is untapped in terms of potential. This gives us a competitive edge and early foot in the door. Our knowledge in both the geothermal and poultry industries enables us to secure an advantage over our competitors.</w:t>
      </w:r>
    </w:p>
    <w:p w14:paraId="43259327" w14:textId="7D5951BD" w:rsidR="00B2456E" w:rsidRPr="009A5A65" w:rsidRDefault="00B2456E" w:rsidP="47B75444">
      <w:pPr>
        <w:rPr>
          <w:rFonts w:ascii="Verdana" w:hAnsi="Verdana"/>
          <w:color w:val="385623" w:themeColor="accent6" w:themeShade="80"/>
          <w:sz w:val="24"/>
          <w:szCs w:val="24"/>
        </w:rPr>
      </w:pPr>
      <w:r w:rsidRPr="009A5A65">
        <w:rPr>
          <w:rFonts w:ascii="Verdana" w:hAnsi="Verdana"/>
          <w:b/>
          <w:bCs/>
          <w:color w:val="385623" w:themeColor="accent6" w:themeShade="80"/>
          <w:sz w:val="24"/>
          <w:szCs w:val="24"/>
        </w:rPr>
        <w:t>Market</w:t>
      </w:r>
      <w:r w:rsidR="6A3F0E6D" w:rsidRPr="009A5A65">
        <w:rPr>
          <w:rFonts w:ascii="Verdana" w:hAnsi="Verdana"/>
          <w:b/>
          <w:bCs/>
          <w:color w:val="385623" w:themeColor="accent6" w:themeShade="80"/>
          <w:sz w:val="24"/>
          <w:szCs w:val="24"/>
        </w:rPr>
        <w:t xml:space="preserve"> Analysis</w:t>
      </w:r>
    </w:p>
    <w:p w14:paraId="594A432A" w14:textId="2F88B4E7" w:rsidR="000D61F4" w:rsidRDefault="00B2456E" w:rsidP="17BF96B9">
      <w:pPr>
        <w:rPr>
          <w:rFonts w:ascii="Verdana" w:hAnsi="Verdana"/>
          <w:b/>
          <w:bCs/>
          <w:color w:val="000000" w:themeColor="text1"/>
          <w:sz w:val="32"/>
          <w:szCs w:val="32"/>
        </w:rPr>
      </w:pPr>
      <w:r w:rsidRPr="009A5A65">
        <w:rPr>
          <w:rFonts w:ascii="Verdana" w:hAnsi="Verdana"/>
          <w:sz w:val="20"/>
          <w:szCs w:val="20"/>
        </w:rPr>
        <w:t xml:space="preserve">Our target market is small-to medium-sized poultry farms across 13 states. These 13 have been grouped into 2 main segments based on geographical location. The Southcentral and Great Lakes regions. Southcentral has about 370% larger market size along with a slightly higher growth rate, when compared to </w:t>
      </w:r>
      <w:r w:rsidR="007C6179">
        <w:rPr>
          <w:rFonts w:ascii="Verdana" w:hAnsi="Verdana"/>
          <w:sz w:val="20"/>
          <w:szCs w:val="20"/>
        </w:rPr>
        <w:t xml:space="preserve">Great </w:t>
      </w:r>
      <w:r w:rsidRPr="009A5A65">
        <w:rPr>
          <w:rFonts w:ascii="Verdana" w:hAnsi="Verdana"/>
          <w:sz w:val="20"/>
          <w:szCs w:val="20"/>
        </w:rPr>
        <w:t>Lake States.</w:t>
      </w:r>
    </w:p>
    <w:p w14:paraId="3C739500" w14:textId="03064ABB" w:rsidR="0BFE5148" w:rsidRDefault="00166B6C" w:rsidP="17BF96B9">
      <w:pPr>
        <w:rPr>
          <w:rFonts w:ascii="Verdana" w:hAnsi="Verdana"/>
          <w:b/>
          <w:bCs/>
          <w:color w:val="000000" w:themeColor="text1"/>
          <w:sz w:val="32"/>
          <w:szCs w:val="32"/>
        </w:rPr>
      </w:pPr>
      <w:r w:rsidRPr="00EE2B01">
        <w:rPr>
          <w:noProof/>
          <w:color w:val="538135" w:themeColor="accent6" w:themeShade="BF"/>
        </w:rPr>
        <w:drawing>
          <wp:anchor distT="0" distB="0" distL="114300" distR="114300" simplePos="0" relativeHeight="251658242" behindDoc="0" locked="0" layoutInCell="1" allowOverlap="1" wp14:anchorId="6AF6B9D1" wp14:editId="225783AC">
            <wp:simplePos x="0" y="0"/>
            <wp:positionH relativeFrom="column">
              <wp:posOffset>2372995</wp:posOffset>
            </wp:positionH>
            <wp:positionV relativeFrom="paragraph">
              <wp:posOffset>338455</wp:posOffset>
            </wp:positionV>
            <wp:extent cx="3780790" cy="2527300"/>
            <wp:effectExtent l="0" t="0" r="3810" b="0"/>
            <wp:wrapSquare wrapText="bothSides"/>
            <wp:docPr id="1206518752" name="Chart 1">
              <a:extLst xmlns:a="http://schemas.openxmlformats.org/drawingml/2006/main">
                <a:ext uri="{FF2B5EF4-FFF2-40B4-BE49-F238E27FC236}">
                  <a16:creationId xmlns:a16="http://schemas.microsoft.com/office/drawing/2014/main" id="{6E747152-D808-6321-8975-E715C5ABC3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0D61F4">
        <w:rPr>
          <w:rFonts w:ascii="Verdana" w:hAnsi="Verdana"/>
          <w:b/>
          <w:bCs/>
          <w:noProof/>
          <w:color w:val="000000" w:themeColor="text1"/>
          <w:sz w:val="32"/>
          <w:szCs w:val="32"/>
        </w:rPr>
        <mc:AlternateContent>
          <mc:Choice Requires="wps">
            <w:drawing>
              <wp:anchor distT="0" distB="0" distL="114300" distR="114300" simplePos="0" relativeHeight="251658241" behindDoc="0" locked="0" layoutInCell="1" allowOverlap="1" wp14:anchorId="08B862C3" wp14:editId="6B63323A">
                <wp:simplePos x="0" y="0"/>
                <wp:positionH relativeFrom="column">
                  <wp:posOffset>18472</wp:posOffset>
                </wp:positionH>
                <wp:positionV relativeFrom="paragraph">
                  <wp:posOffset>-175491</wp:posOffset>
                </wp:positionV>
                <wp:extent cx="5883563" cy="0"/>
                <wp:effectExtent l="0" t="0" r="9525" b="12700"/>
                <wp:wrapNone/>
                <wp:docPr id="1198156247" name="Straight Connector 2"/>
                <wp:cNvGraphicFramePr/>
                <a:graphic xmlns:a="http://schemas.openxmlformats.org/drawingml/2006/main">
                  <a:graphicData uri="http://schemas.microsoft.com/office/word/2010/wordprocessingShape">
                    <wps:wsp>
                      <wps:cNvCnPr/>
                      <wps:spPr>
                        <a:xfrm>
                          <a:off x="0" y="0"/>
                          <a:ext cx="58835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21104E22"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45pt,-13.8pt" to="464.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" strokecolor="black [3200]" strokeweight=".5pt">
                <v:stroke joinstyle="miter"/>
              </v:line>
            </w:pict>
          </mc:Fallback>
        </mc:AlternateContent>
      </w:r>
      <w:r w:rsidR="0BFE5148" w:rsidRPr="00E5573E">
        <w:rPr>
          <w:rFonts w:ascii="Verdana" w:hAnsi="Verdana"/>
          <w:b/>
          <w:bCs/>
          <w:color w:val="000000" w:themeColor="text1"/>
          <w:sz w:val="32"/>
          <w:szCs w:val="32"/>
        </w:rPr>
        <w:t>Finances</w:t>
      </w:r>
    </w:p>
    <w:p w14:paraId="13C382DA" w14:textId="77777777" w:rsidR="00C301CF" w:rsidRDefault="00C301CF" w:rsidP="17BF96B9">
      <w:pPr>
        <w:rPr>
          <w:rFonts w:ascii="Verdana" w:eastAsia="Times New Roman" w:hAnsi="Verdana" w:cs="Arial"/>
          <w:color w:val="000000"/>
          <w:kern w:val="0"/>
          <w:sz w:val="20"/>
          <w:szCs w:val="20"/>
          <w14:ligatures w14:val="none"/>
        </w:rPr>
      </w:pPr>
      <w:r w:rsidRPr="00C301CF">
        <w:rPr>
          <w:rFonts w:ascii="Verdana" w:hAnsi="Verdana"/>
          <w:b/>
          <w:color w:val="385623" w:themeColor="accent6" w:themeShade="80"/>
          <w:sz w:val="24"/>
          <w:szCs w:val="24"/>
        </w:rPr>
        <w:t>Amount of Financing Sought:</w:t>
      </w:r>
      <w:r w:rsidRPr="00517B9E">
        <w:rPr>
          <w:rFonts w:ascii="Verdana" w:eastAsia="Times New Roman" w:hAnsi="Verdana" w:cs="Arial"/>
          <w:color w:val="000000"/>
          <w:kern w:val="0"/>
          <w:sz w:val="20"/>
          <w:szCs w:val="20"/>
          <w14:ligatures w14:val="none"/>
        </w:rPr>
        <w:t xml:space="preserve"> </w:t>
      </w:r>
    </w:p>
    <w:p w14:paraId="1B2C6018" w14:textId="76A785C3" w:rsidR="00C301CF" w:rsidRPr="00C301CF" w:rsidRDefault="00C301CF" w:rsidP="17BF96B9">
      <w:pPr>
        <w:rPr>
          <w:rFonts w:ascii="Verdana" w:hAnsi="Verdana" w:cs="Segoe UI"/>
          <w:color w:val="000000" w:themeColor="text1"/>
          <w:sz w:val="20"/>
          <w:szCs w:val="20"/>
        </w:rPr>
      </w:pPr>
      <w:r w:rsidRPr="00C301CF">
        <w:rPr>
          <w:rFonts w:ascii="Verdana" w:hAnsi="Verdana" w:cs="Segoe UI"/>
          <w:color w:val="000000" w:themeColor="text1"/>
          <w:sz w:val="20"/>
          <w:szCs w:val="20"/>
        </w:rPr>
        <w:t>$323,098 SBA loan at 11.5% interest per year for 10 years, owner's equity contribution of $1,275,000.</w:t>
      </w:r>
    </w:p>
    <w:p w14:paraId="505DDFFC" w14:textId="01ACBC94" w:rsidR="003008C9" w:rsidRPr="003008C9" w:rsidRDefault="003008C9" w:rsidP="003008C9">
      <w:pPr>
        <w:rPr>
          <w:rFonts w:ascii="Verdana" w:hAnsi="Verdana"/>
          <w:b/>
          <w:color w:val="385623" w:themeColor="accent6" w:themeShade="80"/>
          <w:sz w:val="24"/>
          <w:szCs w:val="24"/>
        </w:rPr>
      </w:pPr>
      <w:r w:rsidRPr="003008C9">
        <w:rPr>
          <w:rFonts w:ascii="Verdana" w:hAnsi="Verdana"/>
          <w:b/>
          <w:color w:val="385623" w:themeColor="accent6" w:themeShade="80"/>
          <w:sz w:val="24"/>
          <w:szCs w:val="24"/>
        </w:rPr>
        <w:t>Liquidity:</w:t>
      </w:r>
    </w:p>
    <w:p w14:paraId="3C669526" w14:textId="25FA0108" w:rsidR="003008C9" w:rsidRPr="00D87A9F" w:rsidRDefault="003008C9" w:rsidP="003008C9">
      <w:pPr>
        <w:rPr>
          <w:rFonts w:ascii="Verdana" w:eastAsiaTheme="majorEastAsia" w:hAnsi="Verdana" w:cstheme="majorBidi"/>
          <w:color w:val="000000" w:themeColor="text1"/>
          <w:sz w:val="20"/>
          <w:szCs w:val="20"/>
        </w:rPr>
      </w:pPr>
      <w:r w:rsidRPr="007D03DB">
        <w:rPr>
          <w:rFonts w:ascii="Verdana" w:hAnsi="Verdana" w:cs="Segoe UI"/>
          <w:color w:val="000000" w:themeColor="text1"/>
          <w:sz w:val="20"/>
          <w:szCs w:val="20"/>
        </w:rPr>
        <w:t>The company's liquidity, as measured by the current, quick, and operating cycle ratios, has shown consistent improvement over the years, overall surpassing the industry averages.</w:t>
      </w:r>
      <w:r>
        <w:rPr>
          <w:rFonts w:ascii="Verdana" w:hAnsi="Verdana" w:cs="Segoe UI"/>
          <w:color w:val="000000" w:themeColor="text1"/>
          <w:sz w:val="20"/>
          <w:szCs w:val="20"/>
        </w:rPr>
        <w:t xml:space="preserve"> </w:t>
      </w:r>
      <w:r w:rsidRPr="007D03DB">
        <w:rPr>
          <w:rFonts w:ascii="Verdana" w:hAnsi="Verdana" w:cs="Segoe UI"/>
          <w:color w:val="000000" w:themeColor="text1"/>
          <w:sz w:val="20"/>
          <w:szCs w:val="20"/>
        </w:rPr>
        <w:t>Th</w:t>
      </w:r>
      <w:r>
        <w:rPr>
          <w:rFonts w:ascii="Verdana" w:hAnsi="Verdana" w:cs="Segoe UI"/>
          <w:color w:val="000000" w:themeColor="text1"/>
          <w:sz w:val="20"/>
          <w:szCs w:val="20"/>
        </w:rPr>
        <w:t xml:space="preserve">e </w:t>
      </w:r>
      <w:r w:rsidRPr="007D03DB">
        <w:rPr>
          <w:rFonts w:ascii="Verdana" w:hAnsi="Verdana" w:cs="Segoe UI"/>
          <w:color w:val="000000" w:themeColor="text1"/>
          <w:sz w:val="20"/>
          <w:szCs w:val="20"/>
        </w:rPr>
        <w:t xml:space="preserve">operating cycle is in line with industry averages. This suggests strong short-term </w:t>
      </w:r>
      <w:r w:rsidRPr="00D87A9F">
        <w:rPr>
          <w:rFonts w:ascii="Verdana" w:eastAsiaTheme="majorEastAsia" w:hAnsi="Verdana" w:cstheme="majorBidi"/>
          <w:color w:val="000000" w:themeColor="text1"/>
          <w:sz w:val="20"/>
          <w:szCs w:val="20"/>
        </w:rPr>
        <w:t>financial health and improved liquidity management.</w:t>
      </w:r>
      <w:r w:rsidR="00164140" w:rsidRPr="00164140">
        <w:rPr>
          <w:noProof/>
        </w:rPr>
        <w:t xml:space="preserve"> </w:t>
      </w:r>
    </w:p>
    <w:p w14:paraId="46749B09" w14:textId="36B5D994" w:rsidR="003008C9" w:rsidRPr="00905E19" w:rsidRDefault="003008C9" w:rsidP="003008C9">
      <w:pPr>
        <w:jc w:val="center"/>
      </w:pPr>
    </w:p>
    <w:p w14:paraId="026C8602" w14:textId="40540F7B" w:rsidR="003008C9" w:rsidRPr="003008C9" w:rsidRDefault="00FC6FDF" w:rsidP="003008C9">
      <w:pPr>
        <w:rPr>
          <w:rFonts w:ascii="Verdana" w:hAnsi="Verdana"/>
          <w:b/>
          <w:color w:val="385623" w:themeColor="accent6" w:themeShade="80"/>
          <w:sz w:val="24"/>
          <w:szCs w:val="24"/>
        </w:rPr>
      </w:pPr>
      <w:r>
        <w:rPr>
          <w:noProof/>
        </w:rPr>
        <w:drawing>
          <wp:anchor distT="0" distB="0" distL="114300" distR="114300" simplePos="0" relativeHeight="251658243" behindDoc="0" locked="0" layoutInCell="1" allowOverlap="1" wp14:anchorId="68F091B7" wp14:editId="5BFFF739">
            <wp:simplePos x="0" y="0"/>
            <wp:positionH relativeFrom="column">
              <wp:posOffset>2352675</wp:posOffset>
            </wp:positionH>
            <wp:positionV relativeFrom="paragraph">
              <wp:posOffset>100330</wp:posOffset>
            </wp:positionV>
            <wp:extent cx="3893820" cy="2630170"/>
            <wp:effectExtent l="0" t="0" r="5080" b="0"/>
            <wp:wrapSquare wrapText="bothSides"/>
            <wp:docPr id="1062208753" name="Chart 1">
              <a:extLst xmlns:a="http://schemas.openxmlformats.org/drawingml/2006/main">
                <a:ext uri="{FF2B5EF4-FFF2-40B4-BE49-F238E27FC236}">
                  <a16:creationId xmlns:a16="http://schemas.microsoft.com/office/drawing/2014/main" id="{8B2B9E18-9ADC-D7AE-F9D3-F4D85C8A2B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3008C9" w:rsidRPr="003008C9">
        <w:rPr>
          <w:rFonts w:ascii="Verdana" w:hAnsi="Verdana"/>
          <w:b/>
          <w:color w:val="385623" w:themeColor="accent6" w:themeShade="80"/>
          <w:sz w:val="24"/>
          <w:szCs w:val="24"/>
        </w:rPr>
        <w:t>Financial leverage:</w:t>
      </w:r>
    </w:p>
    <w:p w14:paraId="185DB71F" w14:textId="0CA9A610" w:rsidR="003008C9" w:rsidRPr="00EE2B01" w:rsidRDefault="003008C9" w:rsidP="00EE2B01">
      <w:pPr>
        <w:rPr>
          <w:rFonts w:ascii="Verdana" w:hAnsi="Verdana"/>
          <w:sz w:val="20"/>
          <w:szCs w:val="20"/>
        </w:rPr>
      </w:pPr>
      <w:r w:rsidRPr="00EE2B01">
        <w:rPr>
          <w:rFonts w:ascii="Verdana" w:hAnsi="Verdana"/>
          <w:sz w:val="20"/>
          <w:szCs w:val="20"/>
        </w:rPr>
        <w:t xml:space="preserve">The debt/equity ratio that increases drastically by year five (67.54) is reasonable given that we reach a positive owners’ equity that year.  The TIE ratio steadily increases over the five years and surpasses the industry average by year five (3.84 vs Industry Avg. 2.70). This decreases risk for our company overall giving us a strong ability to pay off our debts.  </w:t>
      </w:r>
    </w:p>
    <w:p w14:paraId="5E46E32C" w14:textId="2DDB673F" w:rsidR="003008C9" w:rsidRPr="00905E19" w:rsidRDefault="003008C9" w:rsidP="003008C9">
      <w:pPr>
        <w:jc w:val="center"/>
      </w:pPr>
    </w:p>
    <w:p w14:paraId="608607B1" w14:textId="77777777" w:rsidR="003008C9" w:rsidRPr="00D87A9F" w:rsidRDefault="003008C9" w:rsidP="00D87A9F">
      <w:pPr>
        <w:rPr>
          <w:rFonts w:ascii="Verdana" w:hAnsi="Verdana"/>
          <w:b/>
          <w:color w:val="385623" w:themeColor="accent6" w:themeShade="80"/>
          <w:sz w:val="24"/>
          <w:szCs w:val="24"/>
        </w:rPr>
      </w:pPr>
      <w:r w:rsidRPr="00D87A9F">
        <w:rPr>
          <w:rFonts w:ascii="Verdana" w:hAnsi="Verdana"/>
          <w:b/>
          <w:color w:val="385623" w:themeColor="accent6" w:themeShade="80"/>
          <w:sz w:val="24"/>
          <w:szCs w:val="24"/>
        </w:rPr>
        <w:t>Asset management:</w:t>
      </w:r>
    </w:p>
    <w:p w14:paraId="10E2030C" w14:textId="77777777" w:rsidR="003008C9" w:rsidRPr="003961DE" w:rsidRDefault="003008C9" w:rsidP="003008C9">
      <w:pPr>
        <w:spacing w:line="276" w:lineRule="auto"/>
        <w:jc w:val="both"/>
        <w:rPr>
          <w:rFonts w:ascii="Verdana" w:hAnsi="Verdana"/>
          <w:color w:val="000000" w:themeColor="text1"/>
          <w:sz w:val="20"/>
          <w:szCs w:val="20"/>
        </w:rPr>
      </w:pPr>
      <w:r w:rsidRPr="003961DE">
        <w:rPr>
          <w:rFonts w:ascii="Verdana" w:hAnsi="Verdana"/>
          <w:color w:val="000000" w:themeColor="text1"/>
          <w:sz w:val="20"/>
          <w:szCs w:val="20"/>
        </w:rPr>
        <w:t>Our company has a low Inventory Turnover ratio</w:t>
      </w:r>
      <w:r>
        <w:rPr>
          <w:rFonts w:ascii="Verdana" w:hAnsi="Verdana"/>
          <w:color w:val="000000" w:themeColor="text1"/>
          <w:sz w:val="20"/>
          <w:szCs w:val="20"/>
        </w:rPr>
        <w:t xml:space="preserve"> (15.56 by year 5)</w:t>
      </w:r>
      <w:r w:rsidRPr="003961DE">
        <w:rPr>
          <w:rFonts w:ascii="Verdana" w:hAnsi="Verdana"/>
          <w:color w:val="000000" w:themeColor="text1"/>
          <w:sz w:val="20"/>
          <w:szCs w:val="20"/>
        </w:rPr>
        <w:t>. The materials inventory for our product is expensive and our company is maintaining reserve inventory to keep up with fluctuations in demand. Our companies’ receivables turnover is lower than industry average due to the high price of our product</w:t>
      </w:r>
      <w:r>
        <w:rPr>
          <w:rFonts w:ascii="Verdana" w:hAnsi="Verdana"/>
          <w:color w:val="000000" w:themeColor="text1"/>
          <w:sz w:val="20"/>
          <w:szCs w:val="20"/>
        </w:rPr>
        <w:t xml:space="preserve"> (14.87 by year 5)</w:t>
      </w:r>
      <w:r w:rsidRPr="003961DE">
        <w:rPr>
          <w:rFonts w:ascii="Verdana" w:hAnsi="Verdana"/>
          <w:color w:val="000000" w:themeColor="text1"/>
          <w:sz w:val="20"/>
          <w:szCs w:val="20"/>
        </w:rPr>
        <w:t xml:space="preserve">. High costs for consumers result in our allowance of 2 months for customers to pay their outstanding balance. </w:t>
      </w:r>
    </w:p>
    <w:p w14:paraId="499B8C7F" w14:textId="77777777" w:rsidR="003008C9" w:rsidRPr="003961DE" w:rsidRDefault="003008C9" w:rsidP="003008C9">
      <w:pPr>
        <w:spacing w:line="276" w:lineRule="auto"/>
        <w:jc w:val="both"/>
        <w:rPr>
          <w:rFonts w:ascii="Verdana" w:hAnsi="Verdana"/>
          <w:color w:val="000000" w:themeColor="text1"/>
          <w:sz w:val="20"/>
          <w:szCs w:val="20"/>
        </w:rPr>
      </w:pPr>
      <w:r>
        <w:rPr>
          <w:rFonts w:ascii="Verdana" w:hAnsi="Verdana"/>
          <w:color w:val="000000" w:themeColor="text1"/>
          <w:sz w:val="20"/>
          <w:szCs w:val="20"/>
        </w:rPr>
        <w:t xml:space="preserve"> </w:t>
      </w:r>
    </w:p>
    <w:p w14:paraId="6F69B342" w14:textId="77777777" w:rsidR="003008C9" w:rsidRPr="00D87A9F" w:rsidRDefault="003008C9" w:rsidP="00D87A9F">
      <w:pPr>
        <w:rPr>
          <w:rFonts w:ascii="Verdana" w:hAnsi="Verdana"/>
          <w:b/>
          <w:color w:val="385623" w:themeColor="accent6" w:themeShade="80"/>
          <w:sz w:val="24"/>
          <w:szCs w:val="24"/>
        </w:rPr>
      </w:pPr>
      <w:r w:rsidRPr="00D87A9F">
        <w:rPr>
          <w:rFonts w:ascii="Verdana" w:hAnsi="Verdana"/>
          <w:b/>
          <w:color w:val="385623" w:themeColor="accent6" w:themeShade="80"/>
          <w:sz w:val="24"/>
          <w:szCs w:val="24"/>
        </w:rPr>
        <w:t>Profitability:</w:t>
      </w:r>
    </w:p>
    <w:p w14:paraId="266EE569" w14:textId="77777777" w:rsidR="003C7AAC" w:rsidRPr="007D4284" w:rsidRDefault="003C7AAC" w:rsidP="003C7AAC">
      <w:pPr>
        <w:spacing w:line="276" w:lineRule="auto"/>
        <w:rPr>
          <w:rFonts w:ascii="Verdana" w:hAnsi="Verdana"/>
          <w:color w:val="000000" w:themeColor="text1"/>
          <w:sz w:val="20"/>
          <w:szCs w:val="20"/>
        </w:rPr>
      </w:pPr>
      <w:r w:rsidRPr="7DC945E5">
        <w:rPr>
          <w:rFonts w:ascii="Verdana" w:hAnsi="Verdana"/>
          <w:color w:val="0F0F0F"/>
          <w:sz w:val="20"/>
          <w:szCs w:val="20"/>
        </w:rPr>
        <w:t>Despite fluctuating margins, the company has generally maintained profitability trends above the industry average. The improvement in gross profit margin over the years indicates better cost management. The operating profit margin, though volatile, shows an upward trend, reflecting improved operational efficiency. The return on assets (ROA) turned positive from negative values, signaling a shift towards profitability and better utilization of assets to generate earnings.</w:t>
      </w:r>
    </w:p>
    <w:p w14:paraId="0763A4E5" w14:textId="77777777" w:rsidR="003C7AAC" w:rsidRPr="003961DE" w:rsidRDefault="003C7AAC" w:rsidP="003C7AAC">
      <w:pPr>
        <w:spacing w:line="276" w:lineRule="auto"/>
        <w:rPr>
          <w:rFonts w:ascii="Verdana" w:hAnsi="Verdana"/>
          <w:color w:val="000000" w:themeColor="text1"/>
          <w:sz w:val="20"/>
          <w:szCs w:val="20"/>
        </w:rPr>
      </w:pPr>
    </w:p>
    <w:p w14:paraId="419EBD4C" w14:textId="73ACFE33" w:rsidR="00D05087" w:rsidRPr="00FB3C2B" w:rsidRDefault="00D05087" w:rsidP="00D87A9F">
      <w:pPr>
        <w:rPr>
          <w:rFonts w:ascii="Verdana" w:hAnsi="Verdana"/>
          <w:b/>
          <w:color w:val="000000" w:themeColor="text1"/>
          <w:sz w:val="20"/>
          <w:szCs w:val="20"/>
        </w:rPr>
      </w:pPr>
      <w:r w:rsidRPr="00D87A9F">
        <w:rPr>
          <w:rFonts w:ascii="Verdana" w:hAnsi="Verdana"/>
          <w:b/>
          <w:color w:val="385623" w:themeColor="accent6" w:themeShade="80"/>
          <w:sz w:val="24"/>
          <w:szCs w:val="24"/>
        </w:rPr>
        <w:t>DuPont Analysis:</w:t>
      </w:r>
    </w:p>
    <w:p w14:paraId="07C619ED" w14:textId="77777777" w:rsidR="003008C9" w:rsidRPr="0060034B" w:rsidRDefault="003008C9" w:rsidP="003008C9">
      <w:pPr>
        <w:pStyle w:val="Heading2"/>
        <w:spacing w:line="276" w:lineRule="auto"/>
        <w:rPr>
          <w:rFonts w:ascii="Verdana" w:hAnsi="Verdana"/>
          <w:b/>
          <w:color w:val="000000" w:themeColor="text1"/>
          <w:sz w:val="20"/>
          <w:szCs w:val="20"/>
        </w:rPr>
      </w:pPr>
      <w:r w:rsidRPr="007D03DB">
        <w:rPr>
          <w:rFonts w:ascii="Verdana" w:hAnsi="Verdana"/>
          <w:color w:val="000000" w:themeColor="text1"/>
          <w:sz w:val="20"/>
          <w:szCs w:val="20"/>
        </w:rPr>
        <w:t>Our net profit margin is considerably smaller than the industry average in years 1 through 3, then becomes positive in year 4 and is only 4 percent behind the industry average in year 5. The total asset turnover starts below the industry average but moves above the industry average for years 2,3 and 5. Our total asset turnover ratio dropped to 0.06 in year 4 because we have a higher interest rate. Our equity multiplier is below the industry average for the first 4 years of operation, then jumps above the industry average by 78.</w:t>
      </w:r>
      <w:r w:rsidRPr="007D03DB">
        <w:rPr>
          <w:rFonts w:ascii="Verdana" w:hAnsi="Verdana" w:cs="Segoe UI"/>
          <w:color w:val="000000" w:themeColor="text1"/>
          <w:sz w:val="20"/>
          <w:szCs w:val="20"/>
        </w:rPr>
        <w:t xml:space="preserve"> This analysis suggests that the company has shown strengths in liquidity management, efficient asset utilization, and improved profitability over the years. However, the fluctuating leverage ratios and ROE indicate a need for more consistent financial structuring to ensure stable returns for investors.</w:t>
      </w:r>
    </w:p>
    <w:p w14:paraId="55DD5E08" w14:textId="77777777" w:rsidR="003008C9" w:rsidRDefault="003008C9" w:rsidP="003008C9">
      <w:pPr>
        <w:jc w:val="center"/>
      </w:pPr>
      <w:r w:rsidRPr="0084487A">
        <w:rPr>
          <w:noProof/>
        </w:rPr>
        <w:drawing>
          <wp:inline distT="0" distB="0" distL="0" distR="0" wp14:anchorId="2374BDC3" wp14:editId="4A7E1A71">
            <wp:extent cx="5943600" cy="988828"/>
            <wp:effectExtent l="0" t="0" r="0" b="1905"/>
            <wp:docPr id="833192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92744" name=""/>
                    <pic:cNvPicPr/>
                  </pic:nvPicPr>
                  <pic:blipFill>
                    <a:blip r:embed="rId13"/>
                    <a:stretch>
                      <a:fillRect/>
                    </a:stretch>
                  </pic:blipFill>
                  <pic:spPr>
                    <a:xfrm>
                      <a:off x="0" y="0"/>
                      <a:ext cx="6218773" cy="1034608"/>
                    </a:xfrm>
                    <a:prstGeom prst="rect">
                      <a:avLst/>
                    </a:prstGeom>
                  </pic:spPr>
                </pic:pic>
              </a:graphicData>
            </a:graphic>
          </wp:inline>
        </w:drawing>
      </w:r>
    </w:p>
    <w:p w14:paraId="0EB57A38" w14:textId="639B0EF5" w:rsidR="372FB8F0" w:rsidRDefault="372FB8F0" w:rsidP="372FB8F0"/>
    <w:p w14:paraId="13DBE78C" w14:textId="77777777" w:rsidR="000E7257" w:rsidRPr="000E7257" w:rsidRDefault="000E7257" w:rsidP="000E7257"/>
    <w:p w14:paraId="4442BD0A" w14:textId="77777777" w:rsidR="000E7257" w:rsidRPr="000E7257" w:rsidRDefault="000E7257" w:rsidP="000E7257"/>
    <w:p w14:paraId="6FD70082" w14:textId="77777777" w:rsidR="000E7257" w:rsidRPr="000E7257" w:rsidRDefault="000E7257" w:rsidP="000E7257"/>
    <w:p w14:paraId="5118126F" w14:textId="77777777" w:rsidR="000E7257" w:rsidRPr="000E7257" w:rsidRDefault="000E7257" w:rsidP="000E7257"/>
    <w:p w14:paraId="35A05C93" w14:textId="77777777" w:rsidR="000E7257" w:rsidRPr="000E7257" w:rsidRDefault="000E7257">
      <w:pPr>
        <w:jc w:val="right"/>
        <w:pPrChange w:id="0" w:author="Dumas, Jake Tyler - dumasjt" w:date="2024-02-18T17:21:00Z">
          <w:pPr/>
        </w:pPrChange>
      </w:pPr>
    </w:p>
    <w:sectPr w:rsidR="000E7257" w:rsidRPr="000E7257">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19CB7" w14:textId="77777777" w:rsidR="00795896" w:rsidRDefault="00795896" w:rsidP="00831321">
      <w:pPr>
        <w:spacing w:after="0" w:line="240" w:lineRule="auto"/>
      </w:pPr>
      <w:r>
        <w:separator/>
      </w:r>
    </w:p>
  </w:endnote>
  <w:endnote w:type="continuationSeparator" w:id="0">
    <w:p w14:paraId="496565D9" w14:textId="77777777" w:rsidR="00795896" w:rsidRDefault="00795896" w:rsidP="00831321">
      <w:pPr>
        <w:spacing w:after="0" w:line="240" w:lineRule="auto"/>
      </w:pPr>
      <w:r>
        <w:continuationSeparator/>
      </w:r>
    </w:p>
  </w:endnote>
  <w:endnote w:type="continuationNotice" w:id="1">
    <w:p w14:paraId="0F8C1699" w14:textId="77777777" w:rsidR="00795896" w:rsidRDefault="00795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7984993"/>
      <w:docPartObj>
        <w:docPartGallery w:val="Page Numbers (Bottom of Page)"/>
        <w:docPartUnique/>
      </w:docPartObj>
    </w:sdtPr>
    <w:sdtContent>
      <w:p w14:paraId="5751232F" w14:textId="7B3CCA1A" w:rsidR="009A5A65" w:rsidRDefault="009A5A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D6CBB0" w14:textId="77777777" w:rsidR="009A5A65" w:rsidRDefault="009A5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5072" w:type="pct"/>
      <w:tblLook w:val="04A0" w:firstRow="1" w:lastRow="0" w:firstColumn="1" w:lastColumn="0" w:noHBand="0" w:noVBand="1"/>
      <w:tblPrChange w:id="1" w:author="Dumas, Jake Tyler - dumasjt" w:date="2024-02-18T16:53:00Z">
        <w:tblPr>
          <w:tblStyle w:val="PlainTable4"/>
          <w:tblW w:w="5072" w:type="pct"/>
          <w:tblLook w:val="04A0" w:firstRow="1" w:lastRow="0" w:firstColumn="1" w:lastColumn="0" w:noHBand="0" w:noVBand="1"/>
        </w:tblPr>
      </w:tblPrChange>
    </w:tblPr>
    <w:tblGrid>
      <w:gridCol w:w="7696"/>
      <w:gridCol w:w="1799"/>
      <w:tblGridChange w:id="2">
        <w:tblGrid>
          <w:gridCol w:w="4754"/>
          <w:gridCol w:w="4741"/>
        </w:tblGrid>
      </w:tblGridChange>
    </w:tblGrid>
    <w:tr w:rsidR="000E7257" w:rsidRPr="000E7257" w14:paraId="14CF158B" w14:textId="77777777" w:rsidTr="000B6086">
      <w:trPr>
        <w:cnfStyle w:val="100000000000" w:firstRow="1" w:lastRow="0" w:firstColumn="0" w:lastColumn="0" w:oddVBand="0" w:evenVBand="0" w:oddHBand="0" w:evenHBand="0" w:firstRowFirstColumn="0" w:firstRowLastColumn="0" w:lastRowFirstColumn="0" w:lastRowLastColumn="0"/>
        <w:trHeight w:hRule="exact" w:val="90"/>
        <w:trPrChange w:id="3" w:author="Dumas, Jake Tyler - dumasjt" w:date="2024-02-18T16:53:00Z">
          <w:trPr>
            <w:trHeight w:hRule="exact" w:val="90"/>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385623" w:themeFill="accent6" w:themeFillShade="80"/>
          <w:tcPrChange w:id="4" w:author="Dumas, Jake Tyler - dumasjt" w:date="2024-02-18T16:53:00Z">
            <w:tcPr>
              <w:tcW w:w="0" w:type="dxa"/>
              <w:shd w:val="clear" w:color="auto" w:fill="385623" w:themeFill="accent6" w:themeFillShade="80"/>
            </w:tcPr>
          </w:tcPrChange>
        </w:tcPr>
        <w:p w14:paraId="1DE13147" w14:textId="5C185604" w:rsidR="00810F6C" w:rsidRPr="00EE2B01" w:rsidRDefault="00810F6C" w:rsidP="00EE2B01">
          <w:pPr>
            <w:pStyle w:val="Header"/>
            <w:tabs>
              <w:tab w:val="clear" w:pos="4680"/>
              <w:tab w:val="clear" w:pos="9360"/>
            </w:tabs>
            <w:jc w:val="center"/>
            <w:cnfStyle w:val="101000000000" w:firstRow="1" w:lastRow="0" w:firstColumn="1" w:lastColumn="0" w:oddVBand="0" w:evenVBand="0" w:oddHBand="0" w:evenHBand="0" w:firstRowFirstColumn="0" w:firstRowLastColumn="0" w:lastRowFirstColumn="0" w:lastRowLastColumn="0"/>
            <w:rPr>
              <w:rFonts w:ascii="Verdana" w:hAnsi="Verdana"/>
              <w:caps/>
              <w:sz w:val="16"/>
              <w:szCs w:val="16"/>
            </w:rPr>
          </w:pPr>
        </w:p>
      </w:tc>
      <w:tc>
        <w:tcPr>
          <w:tcW w:w="0" w:type="dxa"/>
          <w:shd w:val="clear" w:color="auto" w:fill="385623" w:themeFill="accent6" w:themeFillShade="80"/>
          <w:tcPrChange w:id="5" w:author="Dumas, Jake Tyler - dumasjt" w:date="2024-02-18T16:53:00Z">
            <w:tcPr>
              <w:tcW w:w="0" w:type="dxa"/>
              <w:shd w:val="clear" w:color="auto" w:fill="385623" w:themeFill="accent6" w:themeFillShade="80"/>
            </w:tcPr>
          </w:tcPrChange>
        </w:tcPr>
        <w:p w14:paraId="632C2C5C" w14:textId="77777777" w:rsidR="00810F6C" w:rsidRPr="00EE2B01" w:rsidRDefault="00810F6C">
          <w:pPr>
            <w:pStyle w:val="Header"/>
            <w:tabs>
              <w:tab w:val="clear" w:pos="4680"/>
              <w:tab w:val="clear" w:pos="9360"/>
            </w:tabs>
            <w:jc w:val="right"/>
            <w:cnfStyle w:val="100000000000" w:firstRow="1" w:lastRow="0" w:firstColumn="0" w:lastColumn="0" w:oddVBand="0" w:evenVBand="0" w:oddHBand="0" w:evenHBand="0" w:firstRowFirstColumn="0" w:firstRowLastColumn="0" w:lastRowFirstColumn="0" w:lastRowLastColumn="0"/>
            <w:rPr>
              <w:rFonts w:ascii="Verdana" w:hAnsi="Verdana"/>
              <w:caps/>
              <w:sz w:val="20"/>
              <w:szCs w:val="20"/>
            </w:rPr>
          </w:pPr>
        </w:p>
      </w:tc>
    </w:tr>
    <w:tr w:rsidR="00810F6C" w:rsidRPr="00B03462" w14:paraId="48F089E2" w14:textId="77777777" w:rsidTr="000E7257">
      <w:trPr>
        <w:cnfStyle w:val="000000100000" w:firstRow="0" w:lastRow="0" w:firstColumn="0" w:lastColumn="0" w:oddVBand="0" w:evenVBand="0" w:oddHBand="1" w:evenHBand="0" w:firstRowFirstColumn="0" w:firstRowLastColumn="0" w:lastRowFirstColumn="0" w:lastRowLastColumn="0"/>
        <w:trHeight w:val="419"/>
        <w:trPrChange w:id="6" w:author="Dumas, Jake Tyler - dumasjt" w:date="2024-02-18T16:53:00Z">
          <w:trPr>
            <w:trHeight w:val="419"/>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7" w:author="Dumas, Jake Tyler - dumasjt" w:date="2024-02-18T16:53:00Z">
            <w:tcPr>
              <w:tcW w:w="4753" w:type="dxa"/>
              <w:shd w:val="clear" w:color="auto" w:fill="auto"/>
            </w:tcPr>
          </w:tcPrChange>
        </w:tcPr>
        <w:p w14:paraId="3873A43E" w14:textId="22368220" w:rsidR="00810F6C" w:rsidRPr="00EE2B01" w:rsidRDefault="00810F6C" w:rsidP="00EE2B01">
          <w:pPr>
            <w:pStyle w:val="Footer"/>
            <w:tabs>
              <w:tab w:val="clear" w:pos="4680"/>
              <w:tab w:val="clear" w:pos="9360"/>
              <w:tab w:val="left" w:pos="3550"/>
            </w:tabs>
            <w:cnfStyle w:val="001000100000" w:firstRow="0" w:lastRow="0" w:firstColumn="1" w:lastColumn="0" w:oddVBand="0" w:evenVBand="0" w:oddHBand="1" w:evenHBand="0" w:firstRowFirstColumn="0" w:firstRowLastColumn="0" w:lastRowFirstColumn="0" w:lastRowLastColumn="0"/>
            <w:rPr>
              <w:rFonts w:ascii="Verdana" w:hAnsi="Verdana"/>
              <w:caps/>
              <w:color w:val="808080" w:themeColor="background1" w:themeShade="80"/>
              <w:sz w:val="16"/>
              <w:szCs w:val="16"/>
            </w:rPr>
          </w:pPr>
          <w:r w:rsidRPr="00EE2B01">
            <w:rPr>
              <w:rFonts w:ascii="Verdana" w:hAnsi="Verdana"/>
              <w:caps/>
              <w:color w:val="808080" w:themeColor="background1" w:themeShade="80"/>
              <w:sz w:val="16"/>
              <w:szCs w:val="16"/>
            </w:rPr>
            <w:t>GeoWARMTH</w:t>
          </w:r>
          <w:r w:rsidR="00E2355F" w:rsidRPr="00EE2B01">
            <w:rPr>
              <w:rFonts w:ascii="Verdana" w:hAnsi="Verdana"/>
              <w:caps/>
              <w:color w:val="808080" w:themeColor="background1" w:themeShade="80"/>
              <w:sz w:val="16"/>
              <w:szCs w:val="16"/>
            </w:rPr>
            <w:t xml:space="preserve"> po</w:t>
          </w:r>
          <w:r w:rsidRPr="00EE2B01">
            <w:rPr>
              <w:rFonts w:ascii="Verdana" w:hAnsi="Verdana"/>
              <w:caps/>
              <w:color w:val="808080" w:themeColor="background1" w:themeShade="80"/>
              <w:sz w:val="16"/>
              <w:szCs w:val="16"/>
            </w:rPr>
            <w:t>ULTRY SOLUTION</w:t>
          </w:r>
          <w:r w:rsidR="00E218AB" w:rsidRPr="00EE2B01">
            <w:rPr>
              <w:rFonts w:ascii="Verdana" w:hAnsi="Verdana"/>
              <w:caps/>
              <w:color w:val="808080" w:themeColor="background1" w:themeShade="80"/>
              <w:sz w:val="16"/>
              <w:szCs w:val="16"/>
            </w:rPr>
            <w:t>s, LLC</w:t>
          </w:r>
          <w:r w:rsidR="00932F70">
            <w:rPr>
              <w:rFonts w:ascii="Verdana" w:hAnsi="Verdana"/>
              <w:caps/>
              <w:color w:val="808080" w:themeColor="background1" w:themeShade="80"/>
              <w:sz w:val="16"/>
              <w:szCs w:val="16"/>
            </w:rPr>
            <w:t>.</w:t>
          </w:r>
          <w:r w:rsidRPr="00EE2B01">
            <w:rPr>
              <w:rFonts w:ascii="Verdana" w:hAnsi="Verdana"/>
              <w:caps/>
              <w:color w:val="808080" w:themeColor="background1" w:themeShade="80"/>
              <w:sz w:val="16"/>
              <w:szCs w:val="16"/>
            </w:rPr>
            <w:tab/>
          </w:r>
        </w:p>
      </w:tc>
      <w:tc>
        <w:tcPr>
          <w:tcW w:w="0" w:type="dxa"/>
          <w:shd w:val="clear" w:color="auto" w:fill="auto"/>
          <w:tcPrChange w:id="8" w:author="Dumas, Jake Tyler - dumasjt" w:date="2024-02-18T16:53:00Z">
            <w:tcPr>
              <w:tcW w:w="4741" w:type="dxa"/>
              <w:shd w:val="clear" w:color="auto" w:fill="auto"/>
            </w:tcPr>
          </w:tcPrChange>
        </w:tcPr>
        <w:p w14:paraId="4770AED9" w14:textId="77777777" w:rsidR="00810F6C" w:rsidRPr="00EE2B01" w:rsidRDefault="00810F6C">
          <w:pPr>
            <w:pStyle w:val="Footer"/>
            <w:tabs>
              <w:tab w:val="clear" w:pos="4680"/>
              <w:tab w:val="clear" w:pos="9360"/>
            </w:tabs>
            <w:jc w:val="right"/>
            <w:cnfStyle w:val="000000100000" w:firstRow="0" w:lastRow="0" w:firstColumn="0" w:lastColumn="0" w:oddVBand="0" w:evenVBand="0" w:oddHBand="1" w:evenHBand="0" w:firstRowFirstColumn="0" w:firstRowLastColumn="0" w:lastRowFirstColumn="0" w:lastRowLastColumn="0"/>
            <w:rPr>
              <w:rFonts w:ascii="Verdana" w:hAnsi="Verdana"/>
              <w:caps/>
              <w:color w:val="808080" w:themeColor="background1" w:themeShade="80"/>
              <w:sz w:val="18"/>
              <w:szCs w:val="18"/>
            </w:rPr>
          </w:pPr>
          <w:r w:rsidRPr="00EE2B01">
            <w:rPr>
              <w:rFonts w:ascii="Verdana" w:hAnsi="Verdana"/>
              <w:caps/>
              <w:color w:val="808080" w:themeColor="background1" w:themeShade="80"/>
              <w:sz w:val="18"/>
              <w:szCs w:val="18"/>
            </w:rPr>
            <w:fldChar w:fldCharType="begin"/>
          </w:r>
          <w:r w:rsidRPr="00EE2B01">
            <w:rPr>
              <w:rFonts w:ascii="Verdana" w:hAnsi="Verdana"/>
              <w:caps/>
              <w:color w:val="808080" w:themeColor="background1" w:themeShade="80"/>
              <w:sz w:val="18"/>
              <w:szCs w:val="18"/>
            </w:rPr>
            <w:instrText xml:space="preserve"> PAGE   \* MERGEFORMAT </w:instrText>
          </w:r>
          <w:r w:rsidRPr="00EE2B01">
            <w:rPr>
              <w:rFonts w:ascii="Verdana" w:hAnsi="Verdana"/>
              <w:caps/>
              <w:color w:val="808080" w:themeColor="background1" w:themeShade="80"/>
              <w:sz w:val="18"/>
              <w:szCs w:val="18"/>
            </w:rPr>
            <w:fldChar w:fldCharType="separate"/>
          </w:r>
          <w:r w:rsidRPr="00EE2B01">
            <w:rPr>
              <w:rFonts w:ascii="Verdana" w:hAnsi="Verdana"/>
              <w:caps/>
              <w:noProof/>
              <w:color w:val="808080" w:themeColor="background1" w:themeShade="80"/>
              <w:sz w:val="18"/>
              <w:szCs w:val="18"/>
            </w:rPr>
            <w:t>2</w:t>
          </w:r>
          <w:r w:rsidRPr="00EE2B01">
            <w:rPr>
              <w:rFonts w:ascii="Verdana" w:hAnsi="Verdana"/>
              <w:caps/>
              <w:noProof/>
              <w:color w:val="808080" w:themeColor="background1" w:themeShade="80"/>
              <w:sz w:val="18"/>
              <w:szCs w:val="18"/>
            </w:rPr>
            <w:fldChar w:fldCharType="end"/>
          </w:r>
        </w:p>
      </w:tc>
    </w:tr>
  </w:tbl>
  <w:p w14:paraId="26CD87E7" w14:textId="77777777" w:rsidR="009A5A65" w:rsidRDefault="009A5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2C1D5" w14:textId="77777777" w:rsidR="00795896" w:rsidRDefault="00795896" w:rsidP="00831321">
      <w:pPr>
        <w:spacing w:after="0" w:line="240" w:lineRule="auto"/>
      </w:pPr>
      <w:r>
        <w:separator/>
      </w:r>
    </w:p>
  </w:footnote>
  <w:footnote w:type="continuationSeparator" w:id="0">
    <w:p w14:paraId="1B2360A1" w14:textId="77777777" w:rsidR="00795896" w:rsidRDefault="00795896" w:rsidP="00831321">
      <w:pPr>
        <w:spacing w:after="0" w:line="240" w:lineRule="auto"/>
      </w:pPr>
      <w:r>
        <w:continuationSeparator/>
      </w:r>
    </w:p>
  </w:footnote>
  <w:footnote w:type="continuationNotice" w:id="1">
    <w:p w14:paraId="7CB8AED2" w14:textId="77777777" w:rsidR="00795896" w:rsidRDefault="0079589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oP1CQ0d9zza3MV" int2:id="FpOlPog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9F"/>
    <w:rsid w:val="00005ADD"/>
    <w:rsid w:val="00006BC4"/>
    <w:rsid w:val="00012260"/>
    <w:rsid w:val="00032318"/>
    <w:rsid w:val="00037C30"/>
    <w:rsid w:val="000467D3"/>
    <w:rsid w:val="0004729B"/>
    <w:rsid w:val="00053895"/>
    <w:rsid w:val="000572BE"/>
    <w:rsid w:val="00061128"/>
    <w:rsid w:val="0006280F"/>
    <w:rsid w:val="000652A1"/>
    <w:rsid w:val="0007370C"/>
    <w:rsid w:val="00080CD4"/>
    <w:rsid w:val="000909CC"/>
    <w:rsid w:val="000A1708"/>
    <w:rsid w:val="000A23E0"/>
    <w:rsid w:val="000A3194"/>
    <w:rsid w:val="000B0095"/>
    <w:rsid w:val="000B1D9E"/>
    <w:rsid w:val="000B6086"/>
    <w:rsid w:val="000C1697"/>
    <w:rsid w:val="000D51CD"/>
    <w:rsid w:val="000D61F4"/>
    <w:rsid w:val="000D6E52"/>
    <w:rsid w:val="000D7CEE"/>
    <w:rsid w:val="000E276D"/>
    <w:rsid w:val="000E2E6B"/>
    <w:rsid w:val="000E5B2D"/>
    <w:rsid w:val="000E7257"/>
    <w:rsid w:val="00103814"/>
    <w:rsid w:val="00117427"/>
    <w:rsid w:val="00140160"/>
    <w:rsid w:val="001500E0"/>
    <w:rsid w:val="00157392"/>
    <w:rsid w:val="001637D8"/>
    <w:rsid w:val="00164140"/>
    <w:rsid w:val="00166B6C"/>
    <w:rsid w:val="001811B1"/>
    <w:rsid w:val="0019029D"/>
    <w:rsid w:val="00194165"/>
    <w:rsid w:val="00194C48"/>
    <w:rsid w:val="001A2B41"/>
    <w:rsid w:val="001A4DA4"/>
    <w:rsid w:val="001B1004"/>
    <w:rsid w:val="001B1F62"/>
    <w:rsid w:val="001B2C9A"/>
    <w:rsid w:val="001B5B12"/>
    <w:rsid w:val="001C463E"/>
    <w:rsid w:val="001C6FC7"/>
    <w:rsid w:val="001D2664"/>
    <w:rsid w:val="001D62DA"/>
    <w:rsid w:val="001E0B08"/>
    <w:rsid w:val="001E42BF"/>
    <w:rsid w:val="001E7247"/>
    <w:rsid w:val="001F04BE"/>
    <w:rsid w:val="0021519E"/>
    <w:rsid w:val="00220AFB"/>
    <w:rsid w:val="00224C5D"/>
    <w:rsid w:val="00234CD8"/>
    <w:rsid w:val="002419EA"/>
    <w:rsid w:val="00253424"/>
    <w:rsid w:val="002542E8"/>
    <w:rsid w:val="00256D0A"/>
    <w:rsid w:val="00260A61"/>
    <w:rsid w:val="0026356B"/>
    <w:rsid w:val="00267A88"/>
    <w:rsid w:val="00282404"/>
    <w:rsid w:val="002847D1"/>
    <w:rsid w:val="0029251F"/>
    <w:rsid w:val="002A4B11"/>
    <w:rsid w:val="002A73EF"/>
    <w:rsid w:val="002B126D"/>
    <w:rsid w:val="002B37FF"/>
    <w:rsid w:val="002B7EA5"/>
    <w:rsid w:val="002E5567"/>
    <w:rsid w:val="002E7AAA"/>
    <w:rsid w:val="002F605C"/>
    <w:rsid w:val="002F69EB"/>
    <w:rsid w:val="003008C9"/>
    <w:rsid w:val="00302D03"/>
    <w:rsid w:val="00320132"/>
    <w:rsid w:val="003244AF"/>
    <w:rsid w:val="00332345"/>
    <w:rsid w:val="00333C0D"/>
    <w:rsid w:val="00336162"/>
    <w:rsid w:val="00343D38"/>
    <w:rsid w:val="00344B9B"/>
    <w:rsid w:val="00361236"/>
    <w:rsid w:val="003662D5"/>
    <w:rsid w:val="003663F4"/>
    <w:rsid w:val="003777D1"/>
    <w:rsid w:val="00381BF0"/>
    <w:rsid w:val="00383235"/>
    <w:rsid w:val="00384F5C"/>
    <w:rsid w:val="0039192A"/>
    <w:rsid w:val="00391CE8"/>
    <w:rsid w:val="003A2EB8"/>
    <w:rsid w:val="003B1061"/>
    <w:rsid w:val="003B20A4"/>
    <w:rsid w:val="003B2A20"/>
    <w:rsid w:val="003B2ABF"/>
    <w:rsid w:val="003B41A5"/>
    <w:rsid w:val="003C26AB"/>
    <w:rsid w:val="003C482D"/>
    <w:rsid w:val="003C6553"/>
    <w:rsid w:val="003C6EB5"/>
    <w:rsid w:val="003C7AAC"/>
    <w:rsid w:val="003E3C11"/>
    <w:rsid w:val="003E7888"/>
    <w:rsid w:val="0040112B"/>
    <w:rsid w:val="00405722"/>
    <w:rsid w:val="004102FB"/>
    <w:rsid w:val="00411258"/>
    <w:rsid w:val="004151CF"/>
    <w:rsid w:val="00440B0C"/>
    <w:rsid w:val="00442B81"/>
    <w:rsid w:val="0044506D"/>
    <w:rsid w:val="004465E9"/>
    <w:rsid w:val="00446625"/>
    <w:rsid w:val="004551F1"/>
    <w:rsid w:val="004608B7"/>
    <w:rsid w:val="004672FF"/>
    <w:rsid w:val="00467F12"/>
    <w:rsid w:val="00474864"/>
    <w:rsid w:val="00483F9D"/>
    <w:rsid w:val="0049167B"/>
    <w:rsid w:val="00491CE4"/>
    <w:rsid w:val="004A261B"/>
    <w:rsid w:val="004A382E"/>
    <w:rsid w:val="004B5AB8"/>
    <w:rsid w:val="004C5F77"/>
    <w:rsid w:val="004C763F"/>
    <w:rsid w:val="004C7693"/>
    <w:rsid w:val="004D2B2C"/>
    <w:rsid w:val="004D3479"/>
    <w:rsid w:val="004D4FB5"/>
    <w:rsid w:val="004D50BD"/>
    <w:rsid w:val="004E60FD"/>
    <w:rsid w:val="004F3FE0"/>
    <w:rsid w:val="00504B9C"/>
    <w:rsid w:val="005065A9"/>
    <w:rsid w:val="005151FD"/>
    <w:rsid w:val="00520778"/>
    <w:rsid w:val="0055223D"/>
    <w:rsid w:val="00556B8A"/>
    <w:rsid w:val="00581E52"/>
    <w:rsid w:val="00586559"/>
    <w:rsid w:val="005A22EA"/>
    <w:rsid w:val="005B2CDA"/>
    <w:rsid w:val="005D0924"/>
    <w:rsid w:val="005D1ADB"/>
    <w:rsid w:val="005F05CC"/>
    <w:rsid w:val="0060193C"/>
    <w:rsid w:val="00605DBE"/>
    <w:rsid w:val="00610227"/>
    <w:rsid w:val="00614006"/>
    <w:rsid w:val="0061719B"/>
    <w:rsid w:val="006230BB"/>
    <w:rsid w:val="0062552B"/>
    <w:rsid w:val="00625F20"/>
    <w:rsid w:val="0063108A"/>
    <w:rsid w:val="006410C3"/>
    <w:rsid w:val="0064626F"/>
    <w:rsid w:val="0065544A"/>
    <w:rsid w:val="00663E80"/>
    <w:rsid w:val="006641C1"/>
    <w:rsid w:val="00671565"/>
    <w:rsid w:val="006730F6"/>
    <w:rsid w:val="00684953"/>
    <w:rsid w:val="00691C1F"/>
    <w:rsid w:val="00695FF7"/>
    <w:rsid w:val="006A0A14"/>
    <w:rsid w:val="006A5E0E"/>
    <w:rsid w:val="006B59BA"/>
    <w:rsid w:val="006C0282"/>
    <w:rsid w:val="006C33FD"/>
    <w:rsid w:val="006E285A"/>
    <w:rsid w:val="006E3BDD"/>
    <w:rsid w:val="006F6103"/>
    <w:rsid w:val="006F7E59"/>
    <w:rsid w:val="00707492"/>
    <w:rsid w:val="00717A76"/>
    <w:rsid w:val="0072027F"/>
    <w:rsid w:val="00720EB2"/>
    <w:rsid w:val="00721D3C"/>
    <w:rsid w:val="0072375D"/>
    <w:rsid w:val="00727CDD"/>
    <w:rsid w:val="00730341"/>
    <w:rsid w:val="00742F4B"/>
    <w:rsid w:val="00743250"/>
    <w:rsid w:val="00751182"/>
    <w:rsid w:val="00754BC2"/>
    <w:rsid w:val="00755609"/>
    <w:rsid w:val="00765358"/>
    <w:rsid w:val="0076768A"/>
    <w:rsid w:val="00782DED"/>
    <w:rsid w:val="00787428"/>
    <w:rsid w:val="00795896"/>
    <w:rsid w:val="007A0C50"/>
    <w:rsid w:val="007A3571"/>
    <w:rsid w:val="007A3C75"/>
    <w:rsid w:val="007B2362"/>
    <w:rsid w:val="007B64EE"/>
    <w:rsid w:val="007C6179"/>
    <w:rsid w:val="007C7864"/>
    <w:rsid w:val="007D0002"/>
    <w:rsid w:val="007D371D"/>
    <w:rsid w:val="007D5D85"/>
    <w:rsid w:val="007E0C90"/>
    <w:rsid w:val="007F05E0"/>
    <w:rsid w:val="007F519F"/>
    <w:rsid w:val="007F61EA"/>
    <w:rsid w:val="008006D6"/>
    <w:rsid w:val="00802E25"/>
    <w:rsid w:val="008062BC"/>
    <w:rsid w:val="00810F6C"/>
    <w:rsid w:val="00825816"/>
    <w:rsid w:val="008309BA"/>
    <w:rsid w:val="00831321"/>
    <w:rsid w:val="00834352"/>
    <w:rsid w:val="00835290"/>
    <w:rsid w:val="008445AA"/>
    <w:rsid w:val="00844CB7"/>
    <w:rsid w:val="00846E3D"/>
    <w:rsid w:val="00851B20"/>
    <w:rsid w:val="00856D7A"/>
    <w:rsid w:val="008879EC"/>
    <w:rsid w:val="00890DB0"/>
    <w:rsid w:val="008926A2"/>
    <w:rsid w:val="00892FEC"/>
    <w:rsid w:val="008B5B96"/>
    <w:rsid w:val="008C041E"/>
    <w:rsid w:val="008C2D49"/>
    <w:rsid w:val="008D73F3"/>
    <w:rsid w:val="008E297D"/>
    <w:rsid w:val="008E4A86"/>
    <w:rsid w:val="008F48A5"/>
    <w:rsid w:val="009053D7"/>
    <w:rsid w:val="00914C0F"/>
    <w:rsid w:val="00921D63"/>
    <w:rsid w:val="00924D3B"/>
    <w:rsid w:val="00932F70"/>
    <w:rsid w:val="00935AB3"/>
    <w:rsid w:val="009418FF"/>
    <w:rsid w:val="00941C61"/>
    <w:rsid w:val="00946E5B"/>
    <w:rsid w:val="00947770"/>
    <w:rsid w:val="00951945"/>
    <w:rsid w:val="009648FA"/>
    <w:rsid w:val="00964BD0"/>
    <w:rsid w:val="00966E49"/>
    <w:rsid w:val="00976953"/>
    <w:rsid w:val="009845EF"/>
    <w:rsid w:val="00986074"/>
    <w:rsid w:val="00993A40"/>
    <w:rsid w:val="009976A3"/>
    <w:rsid w:val="009A3B58"/>
    <w:rsid w:val="009A5A65"/>
    <w:rsid w:val="009A7B9C"/>
    <w:rsid w:val="009B5370"/>
    <w:rsid w:val="009C27A5"/>
    <w:rsid w:val="009C493A"/>
    <w:rsid w:val="009D64F6"/>
    <w:rsid w:val="009F665B"/>
    <w:rsid w:val="00A04193"/>
    <w:rsid w:val="00A04A54"/>
    <w:rsid w:val="00A124D0"/>
    <w:rsid w:val="00A13E79"/>
    <w:rsid w:val="00A2461F"/>
    <w:rsid w:val="00A26886"/>
    <w:rsid w:val="00A307F5"/>
    <w:rsid w:val="00A30B03"/>
    <w:rsid w:val="00A405F7"/>
    <w:rsid w:val="00A43397"/>
    <w:rsid w:val="00A44FE5"/>
    <w:rsid w:val="00A47B92"/>
    <w:rsid w:val="00A5205E"/>
    <w:rsid w:val="00A52EC2"/>
    <w:rsid w:val="00A54D6E"/>
    <w:rsid w:val="00A80685"/>
    <w:rsid w:val="00A8659D"/>
    <w:rsid w:val="00AA2B59"/>
    <w:rsid w:val="00AD2530"/>
    <w:rsid w:val="00AD7419"/>
    <w:rsid w:val="00AD7E90"/>
    <w:rsid w:val="00AE7961"/>
    <w:rsid w:val="00B00A38"/>
    <w:rsid w:val="00B01E20"/>
    <w:rsid w:val="00B03462"/>
    <w:rsid w:val="00B10D11"/>
    <w:rsid w:val="00B236E6"/>
    <w:rsid w:val="00B2456E"/>
    <w:rsid w:val="00B30DBB"/>
    <w:rsid w:val="00B35BAF"/>
    <w:rsid w:val="00B36210"/>
    <w:rsid w:val="00B66B3E"/>
    <w:rsid w:val="00B808DB"/>
    <w:rsid w:val="00B854E7"/>
    <w:rsid w:val="00B856B5"/>
    <w:rsid w:val="00B91411"/>
    <w:rsid w:val="00B9366B"/>
    <w:rsid w:val="00BA468B"/>
    <w:rsid w:val="00BB58A1"/>
    <w:rsid w:val="00BC5E94"/>
    <w:rsid w:val="00BE616D"/>
    <w:rsid w:val="00BF3362"/>
    <w:rsid w:val="00C1056C"/>
    <w:rsid w:val="00C11AC9"/>
    <w:rsid w:val="00C301CF"/>
    <w:rsid w:val="00C31CC7"/>
    <w:rsid w:val="00C448E5"/>
    <w:rsid w:val="00C66F12"/>
    <w:rsid w:val="00C67207"/>
    <w:rsid w:val="00C745EC"/>
    <w:rsid w:val="00C84406"/>
    <w:rsid w:val="00C8771E"/>
    <w:rsid w:val="00CA3B05"/>
    <w:rsid w:val="00CC3F71"/>
    <w:rsid w:val="00CC7763"/>
    <w:rsid w:val="00CD14A0"/>
    <w:rsid w:val="00CD39B3"/>
    <w:rsid w:val="00CD3FDA"/>
    <w:rsid w:val="00CD4CF6"/>
    <w:rsid w:val="00CF03B1"/>
    <w:rsid w:val="00CF19A1"/>
    <w:rsid w:val="00D05087"/>
    <w:rsid w:val="00D05B2B"/>
    <w:rsid w:val="00D10100"/>
    <w:rsid w:val="00D14377"/>
    <w:rsid w:val="00D454DC"/>
    <w:rsid w:val="00D828DD"/>
    <w:rsid w:val="00D87A9F"/>
    <w:rsid w:val="00D93255"/>
    <w:rsid w:val="00D933E9"/>
    <w:rsid w:val="00DA213F"/>
    <w:rsid w:val="00DC3E15"/>
    <w:rsid w:val="00DE2E7F"/>
    <w:rsid w:val="00DE3CD0"/>
    <w:rsid w:val="00DF36B1"/>
    <w:rsid w:val="00DF79E6"/>
    <w:rsid w:val="00E117D6"/>
    <w:rsid w:val="00E120C2"/>
    <w:rsid w:val="00E20E10"/>
    <w:rsid w:val="00E218AB"/>
    <w:rsid w:val="00E2348C"/>
    <w:rsid w:val="00E2355F"/>
    <w:rsid w:val="00E251F9"/>
    <w:rsid w:val="00E26749"/>
    <w:rsid w:val="00E32236"/>
    <w:rsid w:val="00E3235D"/>
    <w:rsid w:val="00E35F3E"/>
    <w:rsid w:val="00E505FD"/>
    <w:rsid w:val="00E5573E"/>
    <w:rsid w:val="00E57A68"/>
    <w:rsid w:val="00E60B45"/>
    <w:rsid w:val="00E760F4"/>
    <w:rsid w:val="00E76F85"/>
    <w:rsid w:val="00E77604"/>
    <w:rsid w:val="00E80387"/>
    <w:rsid w:val="00E909E0"/>
    <w:rsid w:val="00E9179A"/>
    <w:rsid w:val="00EA7A69"/>
    <w:rsid w:val="00EC231B"/>
    <w:rsid w:val="00ED05DC"/>
    <w:rsid w:val="00ED17FF"/>
    <w:rsid w:val="00ED6BCA"/>
    <w:rsid w:val="00ED7D77"/>
    <w:rsid w:val="00EE031D"/>
    <w:rsid w:val="00EE2B01"/>
    <w:rsid w:val="00F01549"/>
    <w:rsid w:val="00F05E1E"/>
    <w:rsid w:val="00F1348E"/>
    <w:rsid w:val="00F20180"/>
    <w:rsid w:val="00F272C2"/>
    <w:rsid w:val="00F27BD6"/>
    <w:rsid w:val="00F30E7A"/>
    <w:rsid w:val="00F33193"/>
    <w:rsid w:val="00F418A3"/>
    <w:rsid w:val="00F43B2F"/>
    <w:rsid w:val="00F54CAC"/>
    <w:rsid w:val="00F6376A"/>
    <w:rsid w:val="00F666A1"/>
    <w:rsid w:val="00F75350"/>
    <w:rsid w:val="00F8256B"/>
    <w:rsid w:val="00F84CA0"/>
    <w:rsid w:val="00F91927"/>
    <w:rsid w:val="00F939A9"/>
    <w:rsid w:val="00FA5CC4"/>
    <w:rsid w:val="00FB42D8"/>
    <w:rsid w:val="00FC2699"/>
    <w:rsid w:val="00FC6FDF"/>
    <w:rsid w:val="00FC7202"/>
    <w:rsid w:val="00FC75B5"/>
    <w:rsid w:val="00FD15DA"/>
    <w:rsid w:val="00FE4002"/>
    <w:rsid w:val="0965F391"/>
    <w:rsid w:val="09ACF34D"/>
    <w:rsid w:val="0AC7BF75"/>
    <w:rsid w:val="0BFE5148"/>
    <w:rsid w:val="0DABFB90"/>
    <w:rsid w:val="10D32031"/>
    <w:rsid w:val="13D9F43C"/>
    <w:rsid w:val="15A7FDAD"/>
    <w:rsid w:val="161789A6"/>
    <w:rsid w:val="17BF96B9"/>
    <w:rsid w:val="1896036A"/>
    <w:rsid w:val="19F7426E"/>
    <w:rsid w:val="1BCD0CB4"/>
    <w:rsid w:val="1EF7D94C"/>
    <w:rsid w:val="1F197CB5"/>
    <w:rsid w:val="25068E10"/>
    <w:rsid w:val="2C83C697"/>
    <w:rsid w:val="2D9839CB"/>
    <w:rsid w:val="30FE1197"/>
    <w:rsid w:val="370DACAE"/>
    <w:rsid w:val="372FB8F0"/>
    <w:rsid w:val="3731B3DB"/>
    <w:rsid w:val="3C82EE0E"/>
    <w:rsid w:val="3FC17F3C"/>
    <w:rsid w:val="41A17C43"/>
    <w:rsid w:val="45FA6EFB"/>
    <w:rsid w:val="47788A6A"/>
    <w:rsid w:val="47B75444"/>
    <w:rsid w:val="4AE381A2"/>
    <w:rsid w:val="4F283993"/>
    <w:rsid w:val="50323582"/>
    <w:rsid w:val="50CACE81"/>
    <w:rsid w:val="514DF7D2"/>
    <w:rsid w:val="547BB8C7"/>
    <w:rsid w:val="55F2792C"/>
    <w:rsid w:val="56CF3ED1"/>
    <w:rsid w:val="573CB9AF"/>
    <w:rsid w:val="573D95E3"/>
    <w:rsid w:val="5A4DA782"/>
    <w:rsid w:val="5C59E8BF"/>
    <w:rsid w:val="67366B33"/>
    <w:rsid w:val="6A3F0E6D"/>
    <w:rsid w:val="6E45D661"/>
    <w:rsid w:val="705BED60"/>
    <w:rsid w:val="71DC27F0"/>
    <w:rsid w:val="72CD3124"/>
    <w:rsid w:val="72F46367"/>
    <w:rsid w:val="73844B89"/>
    <w:rsid w:val="76A52C66"/>
    <w:rsid w:val="7A8FABEA"/>
    <w:rsid w:val="7D788183"/>
    <w:rsid w:val="7DC945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054DD"/>
  <w15:chartTrackingRefBased/>
  <w15:docId w15:val="{93350ECF-D622-4900-A1A9-D3631D59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A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82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DB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0DBB"/>
    <w:pPr>
      <w:spacing w:after="0" w:line="240" w:lineRule="auto"/>
      <w:ind w:left="720"/>
      <w:contextualSpacing/>
    </w:pPr>
    <w:rPr>
      <w:sz w:val="24"/>
      <w:szCs w:val="24"/>
    </w:rPr>
  </w:style>
  <w:style w:type="character" w:customStyle="1" w:styleId="Heading1Char">
    <w:name w:val="Heading 1 Char"/>
    <w:basedOn w:val="DefaultParagraphFont"/>
    <w:link w:val="Heading1"/>
    <w:uiPriority w:val="9"/>
    <w:rsid w:val="004B5AB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B5A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AB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31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321"/>
  </w:style>
  <w:style w:type="paragraph" w:styleId="Footer">
    <w:name w:val="footer"/>
    <w:basedOn w:val="Normal"/>
    <w:link w:val="FooterChar"/>
    <w:uiPriority w:val="99"/>
    <w:unhideWhenUsed/>
    <w:rsid w:val="00831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321"/>
  </w:style>
  <w:style w:type="character" w:customStyle="1" w:styleId="eop">
    <w:name w:val="eop"/>
    <w:basedOn w:val="DefaultParagraphFont"/>
    <w:rsid w:val="00AA2B59"/>
  </w:style>
  <w:style w:type="character" w:customStyle="1" w:styleId="Heading2Char">
    <w:name w:val="Heading 2 Char"/>
    <w:basedOn w:val="DefaultParagraphFont"/>
    <w:link w:val="Heading2"/>
    <w:uiPriority w:val="9"/>
    <w:rsid w:val="004A382E"/>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05ADD"/>
    <w:pPr>
      <w:spacing w:after="0" w:line="240" w:lineRule="auto"/>
    </w:pPr>
  </w:style>
  <w:style w:type="paragraph" w:styleId="NoSpacing">
    <w:name w:val="No Spacing"/>
    <w:uiPriority w:val="1"/>
    <w:qFormat/>
    <w:rsid w:val="00302D03"/>
    <w:pPr>
      <w:spacing w:after="0" w:line="240" w:lineRule="auto"/>
    </w:pPr>
  </w:style>
  <w:style w:type="character" w:styleId="PageNumber">
    <w:name w:val="page number"/>
    <w:basedOn w:val="DefaultParagraphFont"/>
    <w:uiPriority w:val="99"/>
    <w:semiHidden/>
    <w:unhideWhenUsed/>
    <w:rsid w:val="009A5A65"/>
  </w:style>
  <w:style w:type="table" w:styleId="TableGridLight">
    <w:name w:val="Grid Table Light"/>
    <w:basedOn w:val="TableNormal"/>
    <w:uiPriority w:val="40"/>
    <w:rsid w:val="00810F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810F6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0768">
      <w:bodyDiv w:val="1"/>
      <w:marLeft w:val="0"/>
      <w:marRight w:val="0"/>
      <w:marTop w:val="0"/>
      <w:marBottom w:val="0"/>
      <w:divBdr>
        <w:top w:val="none" w:sz="0" w:space="0" w:color="auto"/>
        <w:left w:val="none" w:sz="0" w:space="0" w:color="auto"/>
        <w:bottom w:val="none" w:sz="0" w:space="0" w:color="auto"/>
        <w:right w:val="none" w:sz="0" w:space="0" w:color="auto"/>
      </w:divBdr>
    </w:div>
    <w:div w:id="19787968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0df04670838d8a7d/Documents/300%20fi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0df04670838d8a7d/Documents/300%20fi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Verdana" panose="020B0604030504040204" pitchFamily="34" charset="0"/>
                <a:ea typeface="Verdana" panose="020B0604030504040204" pitchFamily="34" charset="0"/>
                <a:cs typeface="Verdana" panose="020B0604030504040204" pitchFamily="34" charset="0"/>
              </a:rPr>
              <a:t>Quick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Fiscal Year</c:v>
          </c:tx>
          <c:spPr>
            <a:solidFill>
              <a:schemeClr val="accent6">
                <a:lumMod val="75000"/>
              </a:schemeClr>
            </a:solidFill>
            <a:ln>
              <a:noFill/>
            </a:ln>
            <a:effectLst/>
          </c:spPr>
          <c:invertIfNegative val="0"/>
          <c:cat>
            <c:strRef>
              <c:f>'[300 fin.xlsx]Ratio'!$D$5:$N$5</c:f>
              <c:strCache>
                <c:ptCount val="6"/>
                <c:pt idx="0">
                  <c:v>2023</c:v>
                </c:pt>
                <c:pt idx="1">
                  <c:v>2024</c:v>
                </c:pt>
                <c:pt idx="2">
                  <c:v>2025</c:v>
                </c:pt>
                <c:pt idx="3">
                  <c:v>2026</c:v>
                </c:pt>
                <c:pt idx="4">
                  <c:v>2027</c:v>
                </c:pt>
                <c:pt idx="5">
                  <c:v>Industry Average</c:v>
                </c:pt>
              </c:strCache>
              <c:extLst/>
            </c:strRef>
          </c:cat>
          <c:val>
            <c:numRef>
              <c:f>'[300 fin.xlsx]Ratio'!$D$9:$N$9</c:f>
              <c:numCache>
                <c:formatCode>0.00</c:formatCode>
                <c:ptCount val="6"/>
                <c:pt idx="0">
                  <c:v>3.2405136615835568</c:v>
                </c:pt>
                <c:pt idx="1">
                  <c:v>3.7501181583732865</c:v>
                </c:pt>
                <c:pt idx="2">
                  <c:v>4.1398099797275068</c:v>
                </c:pt>
                <c:pt idx="3">
                  <c:v>3.6890217058399157</c:v>
                </c:pt>
                <c:pt idx="4">
                  <c:v>5.1283386991601638</c:v>
                </c:pt>
                <c:pt idx="5">
                  <c:v>0.81</c:v>
                </c:pt>
              </c:numCache>
              <c:extLst/>
            </c:numRef>
          </c:val>
          <c:extLst>
            <c:ext xmlns:c16="http://schemas.microsoft.com/office/drawing/2014/chart" uri="{C3380CC4-5D6E-409C-BE32-E72D297353CC}">
              <c16:uniqueId val="{00000000-4D75-8F47-8F60-2EA0849E764E}"/>
            </c:ext>
          </c:extLst>
        </c:ser>
        <c:dLbls>
          <c:showLegendKey val="0"/>
          <c:showVal val="0"/>
          <c:showCatName val="0"/>
          <c:showSerName val="0"/>
          <c:showPercent val="0"/>
          <c:showBubbleSize val="0"/>
        </c:dLbls>
        <c:gapWidth val="219"/>
        <c:overlap val="-27"/>
        <c:axId val="653477728"/>
        <c:axId val="653478208"/>
      </c:barChart>
      <c:catAx>
        <c:axId val="65347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653478208"/>
        <c:crosses val="autoZero"/>
        <c:auto val="1"/>
        <c:lblAlgn val="ctr"/>
        <c:lblOffset val="100"/>
        <c:noMultiLvlLbl val="0"/>
      </c:catAx>
      <c:valAx>
        <c:axId val="6534782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653477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en-US">
                <a:latin typeface="Verdana" panose="020B0604030504040204" pitchFamily="34" charset="0"/>
                <a:ea typeface="Verdana" panose="020B0604030504040204" pitchFamily="34" charset="0"/>
                <a:cs typeface="Verdana" panose="020B0604030504040204" pitchFamily="34" charset="0"/>
              </a:rPr>
              <a:t>Times Interest Earned 2027</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title>
    <c:autoTitleDeleted val="0"/>
    <c:plotArea>
      <c:layout/>
      <c:pieChart>
        <c:varyColors val="1"/>
        <c:ser>
          <c:idx val="0"/>
          <c:order val="0"/>
          <c:dPt>
            <c:idx val="0"/>
            <c:bubble3D val="0"/>
            <c:spPr>
              <a:gradFill rotWithShape="1">
                <a:gsLst>
                  <a:gs pos="0">
                    <a:schemeClr val="accent6">
                      <a:shade val="76000"/>
                      <a:satMod val="103000"/>
                      <a:lumMod val="102000"/>
                      <a:tint val="94000"/>
                    </a:schemeClr>
                  </a:gs>
                  <a:gs pos="50000">
                    <a:schemeClr val="accent6">
                      <a:shade val="76000"/>
                      <a:satMod val="110000"/>
                      <a:lumMod val="100000"/>
                      <a:shade val="100000"/>
                    </a:schemeClr>
                  </a:gs>
                  <a:gs pos="100000">
                    <a:schemeClr val="accent6">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13F-4493-83B8-7483F54C58C5}"/>
              </c:ext>
            </c:extLst>
          </c:dPt>
          <c:dPt>
            <c:idx val="1"/>
            <c:bubble3D val="0"/>
            <c:spPr>
              <a:gradFill rotWithShape="1">
                <a:gsLst>
                  <a:gs pos="0">
                    <a:schemeClr val="accent6">
                      <a:tint val="77000"/>
                      <a:satMod val="103000"/>
                      <a:lumMod val="102000"/>
                      <a:tint val="94000"/>
                    </a:schemeClr>
                  </a:gs>
                  <a:gs pos="50000">
                    <a:schemeClr val="accent6">
                      <a:tint val="77000"/>
                      <a:satMod val="110000"/>
                      <a:lumMod val="100000"/>
                      <a:shade val="100000"/>
                    </a:schemeClr>
                  </a:gs>
                  <a:gs pos="100000">
                    <a:schemeClr val="accent6">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A13F-4493-83B8-7483F54C58C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'[300 fin.xlsx]Ratio'!$Q$22:$Q$23</c:f>
              <c:strCache>
                <c:ptCount val="2"/>
                <c:pt idx="0">
                  <c:v>EBIT</c:v>
                </c:pt>
                <c:pt idx="1">
                  <c:v>Interest expense</c:v>
                </c:pt>
              </c:strCache>
            </c:strRef>
          </c:cat>
          <c:val>
            <c:numRef>
              <c:f>'[300 fin.xlsx]Ratio'!$R$22:$R$23</c:f>
              <c:numCache>
                <c:formatCode>"$"#,##0</c:formatCode>
                <c:ptCount val="2"/>
                <c:pt idx="0" formatCode="_(&quot;$&quot;* #,##0_);_(&quot;$&quot;* \(#,##0\);_(&quot;$&quot;* &quot;-&quot;_);_(@_)">
                  <c:v>851596.23203338962</c:v>
                </c:pt>
                <c:pt idx="1">
                  <c:v>221953.10500000001</c:v>
                </c:pt>
              </c:numCache>
            </c:numRef>
          </c:val>
          <c:extLst>
            <c:ext xmlns:c16="http://schemas.microsoft.com/office/drawing/2014/chart" uri="{C3380CC4-5D6E-409C-BE32-E72D297353CC}">
              <c16:uniqueId val="{00000004-A13F-4493-83B8-7483F54C58C5}"/>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43F731BF21C43946363D242818ECF" ma:contentTypeVersion="8" ma:contentTypeDescription="Create a new document." ma:contentTypeScope="" ma:versionID="20543202ffe090f1cb809786082c672f">
  <xsd:schema xmlns:xsd="http://www.w3.org/2001/XMLSchema" xmlns:xs="http://www.w3.org/2001/XMLSchema" xmlns:p="http://schemas.microsoft.com/office/2006/metadata/properties" xmlns:ns2="9c949e2a-0d14-4957-9b8d-f529a6e7d6f3" xmlns:ns3="88dfb29d-94f0-4842-822f-85cdafc3ff1d" targetNamespace="http://schemas.microsoft.com/office/2006/metadata/properties" ma:root="true" ma:fieldsID="fd30260d350065eb48969d86d5e1f9db" ns2:_="" ns3:_="">
    <xsd:import namespace="9c949e2a-0d14-4957-9b8d-f529a6e7d6f3"/>
    <xsd:import namespace="88dfb29d-94f0-4842-822f-85cdafc3ff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49e2a-0d14-4957-9b8d-f529a6e7d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fb29d-94f0-4842-822f-85cdafc3ff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E6425-B4B4-4F8D-A882-C6129DB1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49e2a-0d14-4957-9b8d-f529a6e7d6f3"/>
    <ds:schemaRef ds:uri="88dfb29d-94f0-4842-822f-85cdafc3f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1882F-BEB7-45E5-81ED-D3B55FA432FF}">
  <ds:schemaRefs>
    <ds:schemaRef ds:uri="http://schemas.openxmlformats.org/package/2006/metadata/core-properties"/>
    <ds:schemaRef ds:uri="9c949e2a-0d14-4957-9b8d-f529a6e7d6f3"/>
    <ds:schemaRef ds:uri="http://purl.org/dc/dcmitype/"/>
    <ds:schemaRef ds:uri="88dfb29d-94f0-4842-822f-85cdafc3ff1d"/>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DA2C666-0846-489E-9474-FE9C26E1CDDA}">
  <ds:schemaRefs>
    <ds:schemaRef ds:uri="http://schemas.microsoft.com/sharepoint/v3/contenttype/forms"/>
  </ds:schemaRefs>
</ds:datastoreItem>
</file>

<file path=customXml/itemProps4.xml><?xml version="1.0" encoding="utf-8"?>
<ds:datastoreItem xmlns:ds="http://schemas.openxmlformats.org/officeDocument/2006/customXml" ds:itemID="{183F26C1-F7EC-C842-99D5-4854056D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737</Words>
  <Characters>4207</Characters>
  <Application>Microsoft Office Word</Application>
  <DocSecurity>4</DocSecurity>
  <Lines>35</Lines>
  <Paragraphs>9</Paragraphs>
  <ScaleCrop>false</ScaleCrop>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Gilmore, Grady Lawrence - gilmo2gl</dc:creator>
  <cp:keywords/>
  <dc:description/>
  <cp:lastModifiedBy>Simmons, Summer Anne - simmo2sa</cp:lastModifiedBy>
  <cp:revision>137</cp:revision>
  <dcterms:created xsi:type="dcterms:W3CDTF">2024-02-09T18:59:00Z</dcterms:created>
  <dcterms:modified xsi:type="dcterms:W3CDTF">2024-02-22T04:20:00Z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07185ff3-baa9-447d-a734-bc64b8b47fc1</vt:lpwstr>
  </property>
  <property fmtid="{D5CDD505-2E9C-101B-9397-08002B2CF9AE}" pid="3" name="ContentTypeId">
    <vt:lpwstr>0x01010091843F731BF21C43946363D242818ECF</vt:lpwstr>
  </property>
</Properties>
</file>